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F2CCDD">
      <w:pPr>
        <w:pStyle w:val="21"/>
        <w:spacing w:after="0"/>
        <w:rPr>
          <w:rFonts w:ascii="宋体" w:hAnsi="宋体" w:cs="宋体"/>
          <w:color w:val="auto"/>
          <w:sz w:val="24"/>
          <w:highlight w:val="none"/>
        </w:rPr>
      </w:pPr>
      <w:bookmarkStart w:id="0" w:name="_Toc281574833"/>
    </w:p>
    <w:p w14:paraId="3852CD0B">
      <w:pPr>
        <w:snapToGrid w:val="0"/>
        <w:spacing w:line="360" w:lineRule="auto"/>
        <w:jc w:val="center"/>
        <w:rPr>
          <w:rFonts w:hint="default" w:ascii="宋体" w:hAnsi="宋体" w:eastAsia="宋体" w:cs="宋体"/>
          <w:b/>
          <w:color w:val="auto"/>
          <w:kern w:val="0"/>
          <w:sz w:val="40"/>
          <w:szCs w:val="40"/>
          <w:highlight w:val="none"/>
          <w:lang w:val="en-US" w:eastAsia="zh-CN"/>
        </w:rPr>
      </w:pPr>
      <w:r>
        <w:rPr>
          <w:rFonts w:hint="eastAsia" w:ascii="宋体" w:hAnsi="宋体" w:cs="宋体"/>
          <w:b/>
          <w:color w:val="auto"/>
          <w:kern w:val="0"/>
          <w:sz w:val="40"/>
          <w:szCs w:val="40"/>
          <w:highlight w:val="none"/>
          <w:lang w:eastAsia="zh-CN"/>
        </w:rPr>
        <w:t>博爱县教育体育局焦作新材料职业学院图书、教学设备、实验设备等采购项目</w:t>
      </w:r>
      <w:r>
        <w:rPr>
          <w:rFonts w:hint="eastAsia" w:ascii="宋体" w:hAnsi="宋体" w:cs="宋体"/>
          <w:b/>
          <w:color w:val="auto"/>
          <w:kern w:val="0"/>
          <w:sz w:val="40"/>
          <w:szCs w:val="40"/>
          <w:highlight w:val="none"/>
          <w:lang w:val="en-US" w:eastAsia="zh-CN"/>
        </w:rPr>
        <w:t>二标段</w:t>
      </w:r>
      <w:r>
        <w:rPr>
          <w:rFonts w:hint="eastAsia" w:ascii="宋体" w:hAnsi="宋体" w:cs="宋体"/>
          <w:b/>
          <w:color w:val="auto"/>
          <w:kern w:val="0"/>
          <w:sz w:val="40"/>
          <w:szCs w:val="40"/>
          <w:highlight w:val="none"/>
          <w:lang w:eastAsia="zh-CN"/>
        </w:rPr>
        <w:t>（</w:t>
      </w:r>
      <w:r>
        <w:rPr>
          <w:rFonts w:hint="eastAsia" w:ascii="宋体" w:hAnsi="宋体" w:cs="宋体"/>
          <w:b/>
          <w:color w:val="auto"/>
          <w:kern w:val="0"/>
          <w:sz w:val="40"/>
          <w:szCs w:val="40"/>
          <w:highlight w:val="none"/>
          <w:lang w:val="en-US" w:eastAsia="zh-CN"/>
        </w:rPr>
        <w:t>二次</w:t>
      </w:r>
      <w:r>
        <w:rPr>
          <w:rFonts w:hint="eastAsia" w:ascii="宋体" w:hAnsi="宋体" w:cs="宋体"/>
          <w:b/>
          <w:color w:val="auto"/>
          <w:kern w:val="0"/>
          <w:sz w:val="40"/>
          <w:szCs w:val="40"/>
          <w:highlight w:val="none"/>
          <w:lang w:eastAsia="zh-CN"/>
        </w:rPr>
        <w:t>）</w:t>
      </w:r>
      <w:r>
        <w:rPr>
          <w:rFonts w:hint="eastAsia" w:ascii="宋体" w:hAnsi="宋体" w:cs="宋体"/>
          <w:b/>
          <w:color w:val="auto"/>
          <w:kern w:val="0"/>
          <w:sz w:val="40"/>
          <w:szCs w:val="40"/>
          <w:highlight w:val="none"/>
          <w:lang w:val="en-US" w:eastAsia="zh-CN"/>
        </w:rPr>
        <w:t>项目</w:t>
      </w:r>
    </w:p>
    <w:p w14:paraId="0D5179A5">
      <w:pPr>
        <w:spacing w:line="360" w:lineRule="auto"/>
        <w:jc w:val="center"/>
        <w:rPr>
          <w:rFonts w:hint="eastAsia" w:ascii="宋体" w:hAnsi="宋体" w:eastAsia="宋体" w:cs="宋体"/>
          <w:b/>
          <w:bCs/>
          <w:color w:val="auto"/>
          <w:sz w:val="44"/>
          <w:szCs w:val="44"/>
          <w:highlight w:val="none"/>
          <w:lang w:eastAsia="zh-CN"/>
        </w:rPr>
      </w:pPr>
      <w:r>
        <w:rPr>
          <w:rFonts w:hint="eastAsia" w:ascii="宋体" w:hAnsi="宋体" w:cs="宋体"/>
          <w:b/>
          <w:bCs/>
          <w:color w:val="auto"/>
          <w:sz w:val="44"/>
          <w:szCs w:val="44"/>
          <w:highlight w:val="none"/>
          <w:lang w:eastAsia="zh-CN"/>
        </w:rPr>
        <w:t>（</w:t>
      </w:r>
      <w:r>
        <w:rPr>
          <w:rFonts w:hint="eastAsia" w:ascii="宋体" w:hAnsi="宋体" w:cs="宋体"/>
          <w:b/>
          <w:bCs/>
          <w:color w:val="auto"/>
          <w:sz w:val="44"/>
          <w:szCs w:val="44"/>
          <w:highlight w:val="none"/>
          <w:lang w:val="en-US" w:eastAsia="zh-CN"/>
        </w:rPr>
        <w:t>化工类</w:t>
      </w:r>
      <w:r>
        <w:rPr>
          <w:rFonts w:hint="eastAsia" w:ascii="宋体" w:hAnsi="宋体" w:cs="宋体"/>
          <w:b/>
          <w:bCs/>
          <w:color w:val="auto"/>
          <w:sz w:val="44"/>
          <w:szCs w:val="44"/>
          <w:highlight w:val="none"/>
          <w:lang w:eastAsia="zh-CN"/>
        </w:rPr>
        <w:t>）</w:t>
      </w:r>
    </w:p>
    <w:p w14:paraId="4A886AD2">
      <w:pPr>
        <w:spacing w:line="360" w:lineRule="auto"/>
        <w:jc w:val="center"/>
        <w:rPr>
          <w:rFonts w:ascii="宋体" w:hAnsi="宋体" w:cs="宋体"/>
          <w:color w:val="auto"/>
          <w:sz w:val="22"/>
          <w:szCs w:val="28"/>
          <w:highlight w:val="none"/>
        </w:rPr>
      </w:pPr>
      <w:r>
        <w:rPr>
          <w:rFonts w:hint="eastAsia" w:ascii="宋体" w:hAnsi="宋体" w:cs="宋体"/>
          <w:b/>
          <w:bCs/>
          <w:color w:val="auto"/>
          <w:sz w:val="48"/>
          <w:szCs w:val="48"/>
          <w:highlight w:val="none"/>
        </w:rPr>
        <w:t xml:space="preserve"> </w:t>
      </w:r>
    </w:p>
    <w:p w14:paraId="20229BF3">
      <w:pPr>
        <w:snapToGrid w:val="0"/>
        <w:spacing w:line="360" w:lineRule="auto"/>
        <w:jc w:val="center"/>
        <w:rPr>
          <w:rFonts w:ascii="宋体" w:hAnsi="宋体" w:cs="宋体"/>
          <w:b/>
          <w:color w:val="auto"/>
          <w:kern w:val="0"/>
          <w:sz w:val="52"/>
          <w:szCs w:val="52"/>
          <w:highlight w:val="none"/>
        </w:rPr>
      </w:pPr>
      <w:r>
        <w:rPr>
          <w:rFonts w:hint="eastAsia" w:ascii="宋体" w:hAnsi="宋体" w:cs="宋体"/>
          <w:b/>
          <w:color w:val="auto"/>
          <w:kern w:val="0"/>
          <w:sz w:val="52"/>
          <w:szCs w:val="52"/>
          <w:highlight w:val="none"/>
        </w:rPr>
        <w:t>招 标 文 件</w:t>
      </w:r>
    </w:p>
    <w:p w14:paraId="0324A72A">
      <w:pPr>
        <w:spacing w:line="360" w:lineRule="auto"/>
        <w:jc w:val="center"/>
        <w:rPr>
          <w:rFonts w:ascii="宋体" w:hAnsi="宋体" w:cs="宋体"/>
          <w:b/>
          <w:bCs/>
          <w:color w:val="auto"/>
          <w:sz w:val="28"/>
          <w:szCs w:val="28"/>
          <w:highlight w:val="none"/>
        </w:rPr>
      </w:pPr>
      <w:r>
        <w:rPr>
          <w:rFonts w:hint="eastAsia" w:ascii="宋体" w:hAnsi="宋体" w:cs="宋体"/>
          <w:b/>
          <w:bCs/>
          <w:color w:val="auto"/>
          <w:sz w:val="28"/>
          <w:szCs w:val="28"/>
          <w:highlight w:val="none"/>
        </w:rPr>
        <w:t>采购编号：</w:t>
      </w:r>
      <w:r>
        <w:rPr>
          <w:rFonts w:hint="eastAsia" w:ascii="宋体" w:hAnsi="宋体" w:cs="宋体"/>
          <w:b/>
          <w:bCs/>
          <w:color w:val="auto"/>
          <w:sz w:val="28"/>
          <w:szCs w:val="28"/>
          <w:highlight w:val="none"/>
        </w:rPr>
        <w:t>博政采</w:t>
      </w:r>
      <w:r>
        <w:rPr>
          <w:rFonts w:hint="eastAsia" w:ascii="宋体" w:hAnsi="宋体" w:eastAsia="宋体" w:cs="宋体"/>
          <w:b/>
          <w:bCs/>
          <w:color w:val="auto"/>
          <w:sz w:val="28"/>
          <w:szCs w:val="28"/>
          <w:highlight w:val="none"/>
        </w:rPr>
        <w:t>购</w:t>
      </w: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2024</w:t>
      </w: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85</w:t>
      </w:r>
      <w:r>
        <w:rPr>
          <w:rFonts w:hint="eastAsia" w:ascii="宋体" w:hAnsi="宋体" w:eastAsia="宋体" w:cs="宋体"/>
          <w:b/>
          <w:bCs/>
          <w:color w:val="auto"/>
          <w:sz w:val="28"/>
          <w:szCs w:val="28"/>
          <w:highlight w:val="none"/>
        </w:rPr>
        <w:t>号</w:t>
      </w:r>
      <w:r>
        <w:rPr>
          <w:rFonts w:hint="eastAsia" w:ascii="宋体" w:hAnsi="宋体" w:cs="宋体"/>
          <w:b/>
          <w:bCs/>
          <w:color w:val="auto"/>
          <w:sz w:val="28"/>
          <w:szCs w:val="28"/>
          <w:highlight w:val="none"/>
          <w:lang w:val="en-US" w:eastAsia="zh-CN"/>
        </w:rPr>
        <w:t>-2</w:t>
      </w:r>
    </w:p>
    <w:p w14:paraId="50B5270F">
      <w:pPr>
        <w:spacing w:line="360" w:lineRule="auto"/>
        <w:jc w:val="center"/>
        <w:rPr>
          <w:rFonts w:ascii="宋体" w:hAnsi="宋体" w:cs="宋体"/>
          <w:b/>
          <w:bCs/>
          <w:color w:val="auto"/>
          <w:sz w:val="32"/>
          <w:szCs w:val="32"/>
          <w:highlight w:val="none"/>
          <w:u w:val="single"/>
        </w:rPr>
      </w:pPr>
      <w:r>
        <w:rPr>
          <w:rFonts w:hint="eastAsia" w:ascii="宋体" w:hAnsi="宋体" w:cs="宋体"/>
          <w:color w:val="auto"/>
          <w:highlight w:val="none"/>
        </w:rPr>
        <w:drawing>
          <wp:anchor distT="0" distB="0" distL="114300" distR="114300" simplePos="0" relativeHeight="251667456" behindDoc="0" locked="0" layoutInCell="1" allowOverlap="1">
            <wp:simplePos x="0" y="0"/>
            <wp:positionH relativeFrom="column">
              <wp:posOffset>1737995</wp:posOffset>
            </wp:positionH>
            <wp:positionV relativeFrom="paragraph">
              <wp:posOffset>154940</wp:posOffset>
            </wp:positionV>
            <wp:extent cx="2509520" cy="2202815"/>
            <wp:effectExtent l="0" t="0" r="5080" b="6985"/>
            <wp:wrapSquare wrapText="bothSides"/>
            <wp:docPr id="13" name="图片 2" descr="公司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descr="公司logo"/>
                    <pic:cNvPicPr>
                      <a:picLocks noChangeAspect="1"/>
                    </pic:cNvPicPr>
                  </pic:nvPicPr>
                  <pic:blipFill>
                    <a:blip r:embed="rId9"/>
                    <a:stretch>
                      <a:fillRect/>
                    </a:stretch>
                  </pic:blipFill>
                  <pic:spPr>
                    <a:xfrm>
                      <a:off x="0" y="0"/>
                      <a:ext cx="2509520" cy="2202815"/>
                    </a:xfrm>
                    <a:prstGeom prst="rect">
                      <a:avLst/>
                    </a:prstGeom>
                    <a:noFill/>
                    <a:ln>
                      <a:noFill/>
                    </a:ln>
                  </pic:spPr>
                </pic:pic>
              </a:graphicData>
            </a:graphic>
          </wp:anchor>
        </w:drawing>
      </w:r>
    </w:p>
    <w:p w14:paraId="711828C0">
      <w:pPr>
        <w:pStyle w:val="35"/>
        <w:rPr>
          <w:rFonts w:ascii="宋体" w:hAnsi="宋体" w:cs="宋体"/>
          <w:color w:val="auto"/>
          <w:highlight w:val="none"/>
        </w:rPr>
      </w:pPr>
    </w:p>
    <w:p w14:paraId="427DC89E">
      <w:pPr>
        <w:pStyle w:val="7"/>
        <w:rPr>
          <w:rFonts w:ascii="宋体" w:hAnsi="宋体" w:eastAsia="宋体" w:cs="宋体"/>
          <w:color w:val="auto"/>
          <w:highlight w:val="none"/>
        </w:rPr>
      </w:pPr>
    </w:p>
    <w:p w14:paraId="189C4C75">
      <w:pPr>
        <w:rPr>
          <w:rFonts w:ascii="宋体" w:hAnsi="宋体" w:cs="宋体"/>
          <w:color w:val="auto"/>
          <w:sz w:val="30"/>
          <w:highlight w:val="none"/>
        </w:rPr>
      </w:pPr>
    </w:p>
    <w:p w14:paraId="277FD27C">
      <w:pPr>
        <w:rPr>
          <w:rFonts w:ascii="宋体" w:hAnsi="宋体" w:cs="宋体"/>
          <w:color w:val="auto"/>
          <w:highlight w:val="none"/>
        </w:rPr>
      </w:pPr>
    </w:p>
    <w:p w14:paraId="660E5C81">
      <w:pPr>
        <w:pStyle w:val="6"/>
        <w:rPr>
          <w:rFonts w:ascii="宋体" w:hAnsi="宋体" w:cs="宋体"/>
          <w:color w:val="auto"/>
          <w:highlight w:val="none"/>
        </w:rPr>
      </w:pPr>
    </w:p>
    <w:p w14:paraId="484DA37B">
      <w:pPr>
        <w:rPr>
          <w:rFonts w:ascii="宋体" w:hAnsi="宋体" w:cs="宋体"/>
          <w:b/>
          <w:bCs/>
          <w:color w:val="auto"/>
          <w:sz w:val="32"/>
          <w:szCs w:val="32"/>
          <w:highlight w:val="none"/>
        </w:rPr>
      </w:pPr>
    </w:p>
    <w:p w14:paraId="16CB2264">
      <w:pPr>
        <w:rPr>
          <w:rFonts w:ascii="宋体" w:hAnsi="宋体" w:cs="宋体"/>
          <w:b/>
          <w:bCs/>
          <w:color w:val="auto"/>
          <w:sz w:val="32"/>
          <w:szCs w:val="32"/>
          <w:highlight w:val="none"/>
        </w:rPr>
      </w:pPr>
    </w:p>
    <w:p w14:paraId="641066F0">
      <w:pPr>
        <w:rPr>
          <w:rFonts w:ascii="宋体" w:hAnsi="宋体" w:cs="宋体"/>
          <w:b/>
          <w:bCs/>
          <w:color w:val="auto"/>
          <w:sz w:val="32"/>
          <w:szCs w:val="32"/>
          <w:highlight w:val="none"/>
        </w:rPr>
      </w:pPr>
    </w:p>
    <w:p w14:paraId="6C677DA4">
      <w:pPr>
        <w:rPr>
          <w:rFonts w:ascii="宋体" w:hAnsi="宋体" w:cs="宋体"/>
          <w:b/>
          <w:bCs/>
          <w:color w:val="auto"/>
          <w:sz w:val="32"/>
          <w:szCs w:val="32"/>
          <w:highlight w:val="none"/>
        </w:rPr>
      </w:pPr>
    </w:p>
    <w:p w14:paraId="0EE32A34">
      <w:pPr>
        <w:rPr>
          <w:rFonts w:ascii="宋体" w:hAnsi="宋体" w:cs="宋体"/>
          <w:b/>
          <w:bCs/>
          <w:color w:val="auto"/>
          <w:sz w:val="32"/>
          <w:szCs w:val="32"/>
          <w:highlight w:val="none"/>
        </w:rPr>
      </w:pPr>
    </w:p>
    <w:p w14:paraId="770CBEF5">
      <w:pPr>
        <w:bidi w:val="0"/>
        <w:rPr>
          <w:color w:val="auto"/>
          <w:highlight w:val="none"/>
        </w:rPr>
      </w:pPr>
    </w:p>
    <w:p w14:paraId="02D14F4C">
      <w:pPr>
        <w:ind w:firstLine="1928" w:firstLineChars="600"/>
        <w:rPr>
          <w:rFonts w:ascii="宋体" w:hAnsi="宋体" w:cs="宋体"/>
          <w:b/>
          <w:bCs/>
          <w:color w:val="auto"/>
          <w:sz w:val="32"/>
          <w:szCs w:val="32"/>
          <w:highlight w:val="none"/>
        </w:rPr>
      </w:pPr>
    </w:p>
    <w:p w14:paraId="58881C38">
      <w:pPr>
        <w:spacing w:line="360" w:lineRule="auto"/>
        <w:jc w:val="center"/>
        <w:rPr>
          <w:rFonts w:ascii="宋体" w:hAnsi="宋体" w:cs="宋体"/>
          <w:b/>
          <w:bCs/>
          <w:color w:val="auto"/>
          <w:sz w:val="36"/>
          <w:szCs w:val="36"/>
          <w:highlight w:val="none"/>
        </w:rPr>
      </w:pPr>
      <w:r>
        <w:rPr>
          <w:rFonts w:hint="eastAsia" w:ascii="宋体" w:hAnsi="宋体" w:cs="宋体"/>
          <w:b/>
          <w:bCs/>
          <w:color w:val="auto"/>
          <w:sz w:val="36"/>
          <w:szCs w:val="36"/>
          <w:highlight w:val="none"/>
        </w:rPr>
        <w:t>采 购 人：</w:t>
      </w:r>
      <w:r>
        <w:rPr>
          <w:rFonts w:hint="eastAsia" w:ascii="宋体" w:hAnsi="宋体" w:cs="宋体"/>
          <w:b/>
          <w:color w:val="auto"/>
          <w:spacing w:val="-6"/>
          <w:sz w:val="36"/>
          <w:szCs w:val="36"/>
          <w:highlight w:val="none"/>
        </w:rPr>
        <w:t>博爱县教育体育局</w:t>
      </w:r>
    </w:p>
    <w:p w14:paraId="3569B61C">
      <w:pPr>
        <w:spacing w:line="360" w:lineRule="auto"/>
        <w:jc w:val="center"/>
        <w:rPr>
          <w:rFonts w:ascii="宋体" w:hAnsi="宋体" w:cs="宋体"/>
          <w:b/>
          <w:bCs/>
          <w:color w:val="auto"/>
          <w:sz w:val="36"/>
          <w:szCs w:val="36"/>
          <w:highlight w:val="none"/>
        </w:rPr>
      </w:pPr>
      <w:r>
        <w:rPr>
          <w:rFonts w:hint="eastAsia" w:ascii="宋体" w:hAnsi="宋体" w:cs="宋体"/>
          <w:b/>
          <w:bCs/>
          <w:color w:val="auto"/>
          <w:sz w:val="36"/>
          <w:szCs w:val="36"/>
          <w:highlight w:val="none"/>
        </w:rPr>
        <w:t>代理机构：智博国际工程咨询有限公司</w:t>
      </w:r>
    </w:p>
    <w:p w14:paraId="7C289653">
      <w:pPr>
        <w:spacing w:line="360" w:lineRule="auto"/>
        <w:jc w:val="center"/>
        <w:rPr>
          <w:rFonts w:ascii="宋体" w:hAnsi="宋体" w:cs="宋体"/>
          <w:b/>
          <w:bCs/>
          <w:color w:val="auto"/>
          <w:sz w:val="36"/>
          <w:szCs w:val="36"/>
          <w:highlight w:val="none"/>
        </w:rPr>
        <w:sectPr>
          <w:footerReference r:id="rId5" w:type="first"/>
          <w:headerReference r:id="rId3" w:type="even"/>
          <w:footerReference r:id="rId4" w:type="even"/>
          <w:pgSz w:w="11905" w:h="16838"/>
          <w:pgMar w:top="1440" w:right="1463" w:bottom="1440" w:left="1463" w:header="0" w:footer="737" w:gutter="0"/>
          <w:pgNumType w:fmt="numberInDash" w:start="1"/>
          <w:cols w:space="0" w:num="1"/>
          <w:rtlGutter w:val="0"/>
          <w:docGrid w:linePitch="380" w:charSpace="0"/>
        </w:sectPr>
      </w:pPr>
      <w:r>
        <w:rPr>
          <w:rFonts w:hint="eastAsia" w:ascii="宋体" w:hAnsi="宋体" w:cs="宋体"/>
          <w:b/>
          <w:bCs/>
          <w:color w:val="auto"/>
          <w:sz w:val="36"/>
          <w:szCs w:val="36"/>
          <w:highlight w:val="none"/>
        </w:rPr>
        <w:t>日    期：</w:t>
      </w:r>
      <w:r>
        <w:rPr>
          <w:rFonts w:hint="eastAsia" w:ascii="宋体" w:hAnsi="宋体" w:cs="宋体"/>
          <w:b/>
          <w:bCs/>
          <w:color w:val="auto"/>
          <w:sz w:val="36"/>
          <w:szCs w:val="36"/>
          <w:highlight w:val="none"/>
          <w:lang w:val="en-US" w:eastAsia="zh-CN"/>
        </w:rPr>
        <w:t xml:space="preserve">二零二四 </w:t>
      </w:r>
      <w:r>
        <w:rPr>
          <w:rFonts w:hint="eastAsia" w:ascii="宋体" w:hAnsi="宋体" w:cs="宋体"/>
          <w:b/>
          <w:bCs/>
          <w:color w:val="auto"/>
          <w:sz w:val="36"/>
          <w:szCs w:val="36"/>
          <w:highlight w:val="none"/>
        </w:rPr>
        <w:t>年</w:t>
      </w:r>
      <w:r>
        <w:rPr>
          <w:rFonts w:hint="eastAsia" w:ascii="宋体" w:hAnsi="宋体" w:cs="宋体"/>
          <w:b/>
          <w:bCs/>
          <w:color w:val="auto"/>
          <w:sz w:val="36"/>
          <w:szCs w:val="36"/>
          <w:highlight w:val="none"/>
          <w:lang w:val="en-US" w:eastAsia="zh-CN"/>
        </w:rPr>
        <w:t xml:space="preserve"> 八 </w:t>
      </w:r>
      <w:r>
        <w:rPr>
          <w:rFonts w:hint="eastAsia" w:ascii="宋体" w:hAnsi="宋体" w:cs="宋体"/>
          <w:b/>
          <w:bCs/>
          <w:color w:val="auto"/>
          <w:sz w:val="36"/>
          <w:szCs w:val="36"/>
          <w:highlight w:val="none"/>
        </w:rPr>
        <w:t>月</w:t>
      </w:r>
    </w:p>
    <w:p w14:paraId="4512DA30">
      <w:pPr>
        <w:spacing w:line="360" w:lineRule="auto"/>
        <w:jc w:val="center"/>
        <w:rPr>
          <w:rFonts w:ascii="宋体" w:hAnsi="宋体" w:cs="宋体"/>
          <w:color w:val="auto"/>
          <w:highlight w:val="none"/>
        </w:rPr>
      </w:pPr>
      <w:r>
        <w:rPr>
          <w:rFonts w:hint="eastAsia" w:ascii="宋体" w:hAnsi="宋体" w:cs="宋体"/>
          <w:b/>
          <w:bCs/>
          <w:color w:val="auto"/>
          <w:sz w:val="44"/>
          <w:szCs w:val="44"/>
          <w:highlight w:val="none"/>
        </w:rPr>
        <w:t>目  录</w:t>
      </w:r>
    </w:p>
    <w:p w14:paraId="794FCEF1">
      <w:pPr>
        <w:pStyle w:val="17"/>
        <w:tabs>
          <w:tab w:val="right" w:leader="dot" w:pos="9747"/>
        </w:tabs>
        <w:spacing w:line="480" w:lineRule="auto"/>
        <w:rPr>
          <w:rFonts w:ascii="宋体" w:hAnsi="宋体" w:cs="宋体"/>
          <w:color w:val="auto"/>
          <w:sz w:val="28"/>
          <w:szCs w:val="28"/>
          <w:highlight w:val="none"/>
        </w:rPr>
      </w:pPr>
      <w:r>
        <w:rPr>
          <w:rFonts w:hint="eastAsia" w:ascii="宋体" w:hAnsi="宋体" w:cs="宋体"/>
          <w:b/>
          <w:bCs/>
          <w:color w:val="auto"/>
          <w:szCs w:val="21"/>
          <w:highlight w:val="none"/>
          <w:lang w:val="zh-CN"/>
        </w:rPr>
        <w:fldChar w:fldCharType="begin"/>
      </w:r>
      <w:r>
        <w:rPr>
          <w:rFonts w:hint="eastAsia" w:ascii="宋体" w:hAnsi="宋体" w:cs="宋体"/>
          <w:b/>
          <w:bCs/>
          <w:color w:val="auto"/>
          <w:szCs w:val="21"/>
          <w:highlight w:val="none"/>
          <w:lang w:val="zh-CN"/>
        </w:rPr>
        <w:instrText xml:space="preserve"> TOC \o "1-3" \h \z \u </w:instrText>
      </w:r>
      <w:r>
        <w:rPr>
          <w:rFonts w:hint="eastAsia" w:ascii="宋体" w:hAnsi="宋体" w:cs="宋体"/>
          <w:b/>
          <w:bCs/>
          <w:color w:val="auto"/>
          <w:szCs w:val="21"/>
          <w:highlight w:val="none"/>
          <w:lang w:val="zh-CN"/>
        </w:rPr>
        <w:fldChar w:fldCharType="separate"/>
      </w:r>
      <w:r>
        <w:rPr>
          <w:color w:val="auto"/>
          <w:highlight w:val="none"/>
        </w:rPr>
        <w:fldChar w:fldCharType="begin"/>
      </w:r>
      <w:r>
        <w:rPr>
          <w:color w:val="auto"/>
          <w:highlight w:val="none"/>
        </w:rPr>
        <w:instrText xml:space="preserve"> HYPERLINK \l "_Toc2516" </w:instrText>
      </w:r>
      <w:r>
        <w:rPr>
          <w:color w:val="auto"/>
          <w:highlight w:val="none"/>
        </w:rPr>
        <w:fldChar w:fldCharType="separate"/>
      </w:r>
      <w:r>
        <w:rPr>
          <w:rFonts w:hint="eastAsia" w:ascii="宋体" w:hAnsi="宋体" w:cs="宋体"/>
          <w:color w:val="auto"/>
          <w:sz w:val="28"/>
          <w:szCs w:val="28"/>
          <w:highlight w:val="none"/>
        </w:rPr>
        <w:t>第一章</w:t>
      </w:r>
      <w:r>
        <w:rPr>
          <w:rFonts w:hint="eastAsia" w:ascii="宋体" w:hAnsi="宋体" w:cs="宋体"/>
          <w:bCs/>
          <w:color w:val="auto"/>
          <w:sz w:val="28"/>
          <w:szCs w:val="28"/>
          <w:highlight w:val="none"/>
        </w:rPr>
        <w:t xml:space="preserve"> 招标公告</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_Toc2516 \h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5</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14:paraId="2A056FE3">
      <w:pPr>
        <w:pStyle w:val="17"/>
        <w:tabs>
          <w:tab w:val="right" w:leader="dot" w:pos="9747"/>
        </w:tabs>
        <w:spacing w:line="480" w:lineRule="auto"/>
        <w:rPr>
          <w:rFonts w:ascii="宋体" w:hAnsi="宋体" w:cs="宋体"/>
          <w:color w:val="auto"/>
          <w:sz w:val="28"/>
          <w:szCs w:val="28"/>
          <w:highlight w:val="none"/>
        </w:rPr>
      </w:pPr>
      <w:r>
        <w:rPr>
          <w:color w:val="auto"/>
          <w:highlight w:val="none"/>
        </w:rPr>
        <w:fldChar w:fldCharType="begin"/>
      </w:r>
      <w:r>
        <w:rPr>
          <w:color w:val="auto"/>
          <w:highlight w:val="none"/>
        </w:rPr>
        <w:instrText xml:space="preserve"> HYPERLINK \l "_Toc17008" </w:instrText>
      </w:r>
      <w:r>
        <w:rPr>
          <w:color w:val="auto"/>
          <w:highlight w:val="none"/>
        </w:rPr>
        <w:fldChar w:fldCharType="separate"/>
      </w:r>
      <w:r>
        <w:rPr>
          <w:rFonts w:hint="eastAsia" w:ascii="宋体" w:hAnsi="宋体" w:cs="宋体"/>
          <w:color w:val="auto"/>
          <w:sz w:val="28"/>
          <w:szCs w:val="28"/>
          <w:highlight w:val="none"/>
        </w:rPr>
        <w:t>第二章 供应商须知</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_Toc17008 \h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9</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14:paraId="6757FCBA">
      <w:pPr>
        <w:pStyle w:val="17"/>
        <w:tabs>
          <w:tab w:val="right" w:leader="dot" w:pos="9747"/>
        </w:tabs>
        <w:spacing w:line="480" w:lineRule="auto"/>
        <w:rPr>
          <w:rFonts w:ascii="宋体" w:hAnsi="宋体" w:cs="宋体"/>
          <w:color w:val="auto"/>
          <w:sz w:val="28"/>
          <w:szCs w:val="28"/>
          <w:highlight w:val="none"/>
        </w:rPr>
      </w:pPr>
      <w:r>
        <w:rPr>
          <w:color w:val="auto"/>
          <w:highlight w:val="none"/>
        </w:rPr>
        <w:fldChar w:fldCharType="begin"/>
      </w:r>
      <w:r>
        <w:rPr>
          <w:color w:val="auto"/>
          <w:highlight w:val="none"/>
        </w:rPr>
        <w:instrText xml:space="preserve"> HYPERLINK \l "_Toc15006" </w:instrText>
      </w:r>
      <w:r>
        <w:rPr>
          <w:color w:val="auto"/>
          <w:highlight w:val="none"/>
        </w:rPr>
        <w:fldChar w:fldCharType="separate"/>
      </w:r>
      <w:r>
        <w:rPr>
          <w:rFonts w:hint="eastAsia" w:ascii="宋体" w:hAnsi="宋体" w:cs="宋体"/>
          <w:color w:val="auto"/>
          <w:sz w:val="28"/>
          <w:szCs w:val="28"/>
          <w:highlight w:val="none"/>
        </w:rPr>
        <w:t>第三章 评标办法（综合评分法）</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_Toc15006 \h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23</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14:paraId="2D5493D9">
      <w:pPr>
        <w:pStyle w:val="17"/>
        <w:tabs>
          <w:tab w:val="right" w:leader="dot" w:pos="9747"/>
        </w:tabs>
        <w:spacing w:line="480" w:lineRule="auto"/>
        <w:rPr>
          <w:rFonts w:ascii="宋体" w:hAnsi="宋体" w:cs="宋体"/>
          <w:color w:val="auto"/>
          <w:sz w:val="28"/>
          <w:szCs w:val="28"/>
          <w:highlight w:val="none"/>
        </w:rPr>
      </w:pPr>
      <w:r>
        <w:rPr>
          <w:color w:val="auto"/>
          <w:highlight w:val="none"/>
        </w:rPr>
        <w:fldChar w:fldCharType="begin"/>
      </w:r>
      <w:r>
        <w:rPr>
          <w:color w:val="auto"/>
          <w:highlight w:val="none"/>
        </w:rPr>
        <w:instrText xml:space="preserve"> HYPERLINK \l "_Toc1909" </w:instrText>
      </w:r>
      <w:r>
        <w:rPr>
          <w:color w:val="auto"/>
          <w:highlight w:val="none"/>
        </w:rPr>
        <w:fldChar w:fldCharType="separate"/>
      </w:r>
      <w:r>
        <w:rPr>
          <w:rFonts w:hint="eastAsia" w:ascii="宋体" w:hAnsi="宋体" w:cs="宋体"/>
          <w:color w:val="auto"/>
          <w:sz w:val="28"/>
          <w:szCs w:val="28"/>
          <w:highlight w:val="none"/>
        </w:rPr>
        <w:t>第四章 合同条款及格式</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_Toc1909 \h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31</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14:paraId="510A3087">
      <w:pPr>
        <w:pStyle w:val="17"/>
        <w:tabs>
          <w:tab w:val="right" w:leader="dot" w:pos="9747"/>
        </w:tabs>
        <w:spacing w:line="480" w:lineRule="auto"/>
        <w:rPr>
          <w:rFonts w:ascii="宋体" w:hAnsi="宋体" w:cs="宋体"/>
          <w:color w:val="auto"/>
          <w:sz w:val="28"/>
          <w:szCs w:val="28"/>
          <w:highlight w:val="none"/>
        </w:rPr>
      </w:pPr>
      <w:r>
        <w:rPr>
          <w:color w:val="auto"/>
          <w:highlight w:val="none"/>
        </w:rPr>
        <w:fldChar w:fldCharType="begin"/>
      </w:r>
      <w:r>
        <w:rPr>
          <w:color w:val="auto"/>
          <w:highlight w:val="none"/>
        </w:rPr>
        <w:instrText xml:space="preserve"> HYPERLINK \l "_Toc13770" </w:instrText>
      </w:r>
      <w:r>
        <w:rPr>
          <w:color w:val="auto"/>
          <w:highlight w:val="none"/>
        </w:rPr>
        <w:fldChar w:fldCharType="separate"/>
      </w:r>
      <w:r>
        <w:rPr>
          <w:rFonts w:hint="eastAsia" w:ascii="宋体" w:hAnsi="宋体" w:cs="宋体"/>
          <w:bCs/>
          <w:color w:val="auto"/>
          <w:sz w:val="28"/>
          <w:szCs w:val="28"/>
          <w:highlight w:val="none"/>
        </w:rPr>
        <w:t>第五章 采购内容及技术要求</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_Toc13770 \h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33</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14:paraId="7FDBDF17">
      <w:pPr>
        <w:pStyle w:val="17"/>
        <w:tabs>
          <w:tab w:val="right" w:leader="dot" w:pos="9747"/>
        </w:tabs>
        <w:spacing w:line="480" w:lineRule="auto"/>
        <w:rPr>
          <w:rFonts w:ascii="宋体" w:hAnsi="宋体" w:cs="宋体"/>
          <w:color w:val="auto"/>
          <w:sz w:val="28"/>
          <w:szCs w:val="28"/>
          <w:highlight w:val="none"/>
        </w:rPr>
      </w:pPr>
      <w:r>
        <w:rPr>
          <w:color w:val="auto"/>
          <w:highlight w:val="none"/>
        </w:rPr>
        <w:fldChar w:fldCharType="begin"/>
      </w:r>
      <w:r>
        <w:rPr>
          <w:color w:val="auto"/>
          <w:highlight w:val="none"/>
        </w:rPr>
        <w:instrText xml:space="preserve"> HYPERLINK \l "_Toc14121" </w:instrText>
      </w:r>
      <w:r>
        <w:rPr>
          <w:color w:val="auto"/>
          <w:highlight w:val="none"/>
        </w:rPr>
        <w:fldChar w:fldCharType="separate"/>
      </w:r>
      <w:r>
        <w:rPr>
          <w:rFonts w:hint="eastAsia" w:ascii="宋体" w:hAnsi="宋体" w:cs="宋体"/>
          <w:color w:val="auto"/>
          <w:sz w:val="28"/>
          <w:szCs w:val="28"/>
          <w:highlight w:val="none"/>
        </w:rPr>
        <w:t>第六章 质疑与投诉</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_Toc14121 \h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63</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14:paraId="11BDDD4B">
      <w:pPr>
        <w:pStyle w:val="17"/>
        <w:tabs>
          <w:tab w:val="right" w:leader="dot" w:pos="9747"/>
        </w:tabs>
        <w:spacing w:line="480" w:lineRule="auto"/>
        <w:rPr>
          <w:rFonts w:ascii="宋体" w:hAnsi="宋体" w:cs="宋体"/>
          <w:color w:val="auto"/>
          <w:sz w:val="28"/>
          <w:szCs w:val="28"/>
          <w:highlight w:val="none"/>
        </w:rPr>
      </w:pPr>
      <w:r>
        <w:rPr>
          <w:color w:val="auto"/>
          <w:highlight w:val="none"/>
        </w:rPr>
        <w:fldChar w:fldCharType="begin"/>
      </w:r>
      <w:r>
        <w:rPr>
          <w:color w:val="auto"/>
          <w:highlight w:val="none"/>
        </w:rPr>
        <w:instrText xml:space="preserve"> HYPERLINK \l "_Toc8922" </w:instrText>
      </w:r>
      <w:r>
        <w:rPr>
          <w:color w:val="auto"/>
          <w:highlight w:val="none"/>
        </w:rPr>
        <w:fldChar w:fldCharType="separate"/>
      </w:r>
      <w:r>
        <w:rPr>
          <w:rFonts w:hint="eastAsia" w:ascii="宋体" w:hAnsi="宋体" w:cs="宋体"/>
          <w:color w:val="auto"/>
          <w:sz w:val="28"/>
          <w:szCs w:val="28"/>
          <w:highlight w:val="none"/>
        </w:rPr>
        <w:t>第七章 履约验收</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_Toc8922 \h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64</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14:paraId="20D0B4E9">
      <w:pPr>
        <w:pStyle w:val="17"/>
        <w:tabs>
          <w:tab w:val="right" w:leader="dot" w:pos="9747"/>
        </w:tabs>
        <w:spacing w:line="480" w:lineRule="auto"/>
        <w:rPr>
          <w:color w:val="auto"/>
          <w:highlight w:val="none"/>
        </w:rPr>
      </w:pPr>
      <w:r>
        <w:rPr>
          <w:color w:val="auto"/>
          <w:highlight w:val="none"/>
        </w:rPr>
        <w:fldChar w:fldCharType="begin"/>
      </w:r>
      <w:r>
        <w:rPr>
          <w:color w:val="auto"/>
          <w:highlight w:val="none"/>
        </w:rPr>
        <w:instrText xml:space="preserve"> HYPERLINK \l "_Toc19054" </w:instrText>
      </w:r>
      <w:r>
        <w:rPr>
          <w:color w:val="auto"/>
          <w:highlight w:val="none"/>
        </w:rPr>
        <w:fldChar w:fldCharType="separate"/>
      </w:r>
      <w:r>
        <w:rPr>
          <w:rFonts w:hint="eastAsia" w:ascii="宋体" w:hAnsi="宋体" w:cs="宋体"/>
          <w:color w:val="auto"/>
          <w:sz w:val="28"/>
          <w:szCs w:val="28"/>
          <w:highlight w:val="none"/>
        </w:rPr>
        <w:t>第八章 投标文件格式</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_Toc19054 \h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65</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14:paraId="5C5AB0E6">
      <w:pPr>
        <w:pStyle w:val="20"/>
        <w:tabs>
          <w:tab w:val="right" w:leader="dot" w:pos="9747"/>
        </w:tabs>
        <w:rPr>
          <w:color w:val="auto"/>
          <w:highlight w:val="none"/>
        </w:rPr>
      </w:pPr>
    </w:p>
    <w:p w14:paraId="440F21AD">
      <w:pPr>
        <w:rPr>
          <w:rFonts w:ascii="宋体" w:hAnsi="宋体" w:cs="宋体"/>
          <w:bCs/>
          <w:caps/>
          <w:color w:val="auto"/>
          <w:szCs w:val="21"/>
          <w:highlight w:val="none"/>
          <w:lang w:val="zh-CN"/>
        </w:rPr>
      </w:pPr>
      <w:r>
        <w:rPr>
          <w:rFonts w:hint="eastAsia" w:ascii="宋体" w:hAnsi="宋体" w:cs="宋体"/>
          <w:bCs/>
          <w:caps/>
          <w:color w:val="auto"/>
          <w:szCs w:val="21"/>
          <w:highlight w:val="none"/>
          <w:lang w:val="zh-CN"/>
        </w:rPr>
        <w:fldChar w:fldCharType="end"/>
      </w:r>
      <w:bookmarkStart w:id="1" w:name="_Toc22837"/>
      <w:bookmarkStart w:id="2" w:name="_Toc18853"/>
    </w:p>
    <w:p w14:paraId="04D763CF">
      <w:pPr>
        <w:rPr>
          <w:rFonts w:ascii="宋体" w:hAnsi="宋体" w:cs="宋体"/>
          <w:bCs/>
          <w:caps/>
          <w:color w:val="auto"/>
          <w:szCs w:val="21"/>
          <w:highlight w:val="none"/>
          <w:lang w:val="zh-CN"/>
        </w:rPr>
      </w:pPr>
      <w:r>
        <w:rPr>
          <w:rFonts w:hint="eastAsia" w:ascii="宋体" w:hAnsi="宋体" w:cs="宋体"/>
          <w:bCs/>
          <w:caps/>
          <w:color w:val="auto"/>
          <w:szCs w:val="21"/>
          <w:highlight w:val="none"/>
          <w:lang w:val="zh-CN"/>
        </w:rPr>
        <w:br w:type="page"/>
      </w:r>
    </w:p>
    <w:p w14:paraId="0ABE0CA9">
      <w:pPr>
        <w:spacing w:line="360" w:lineRule="auto"/>
        <w:jc w:val="center"/>
        <w:rPr>
          <w:rFonts w:ascii="宋体" w:hAnsi="宋体" w:cs="宋体"/>
          <w:b/>
          <w:bCs/>
          <w:color w:val="auto"/>
          <w:sz w:val="40"/>
          <w:szCs w:val="40"/>
          <w:highlight w:val="none"/>
        </w:rPr>
      </w:pPr>
      <w:r>
        <w:rPr>
          <w:rFonts w:hint="eastAsia" w:ascii="宋体" w:hAnsi="宋体" w:cs="宋体"/>
          <w:b/>
          <w:bCs/>
          <w:color w:val="auto"/>
          <w:sz w:val="32"/>
          <w:szCs w:val="40"/>
          <w:highlight w:val="none"/>
        </w:rPr>
        <w:t>重要事项提示</w:t>
      </w:r>
      <w:bookmarkEnd w:id="1"/>
      <w:bookmarkEnd w:id="2"/>
    </w:p>
    <w:p w14:paraId="7A6C46A8">
      <w:pPr>
        <w:spacing w:line="360" w:lineRule="auto"/>
        <w:rPr>
          <w:rFonts w:ascii="宋体" w:hAnsi="宋体" w:cs="宋体"/>
          <w:color w:val="auto"/>
          <w:sz w:val="24"/>
          <w:highlight w:val="none"/>
        </w:rPr>
      </w:pPr>
      <w:r>
        <w:rPr>
          <w:rFonts w:hint="eastAsia" w:ascii="宋体" w:hAnsi="宋体" w:cs="宋体"/>
          <w:color w:val="auto"/>
          <w:sz w:val="24"/>
          <w:highlight w:val="none"/>
        </w:rPr>
        <w:t>各潜在投标人：</w:t>
      </w:r>
    </w:p>
    <w:p w14:paraId="0D504E73">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以下环节是此采购文件中需要重点关注的环节，对以下内容的忽视，可能是影响贵公司中标的重要因素。请在编制相应文件参与政府采购时高度重视。</w:t>
      </w:r>
    </w:p>
    <w:p w14:paraId="4D14AE7B">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1、采购文件应通过焦作市公共资源交易中心网站会员系统进行网上下载；未使用</w:t>
      </w:r>
      <w:r>
        <w:rPr>
          <w:rFonts w:hint="eastAsia" w:ascii="宋体" w:hAnsi="宋体" w:cs="宋体"/>
          <w:bCs/>
          <w:color w:val="auto"/>
          <w:kern w:val="0"/>
          <w:sz w:val="24"/>
          <w:highlight w:val="none"/>
        </w:rPr>
        <w:t>企业 CA 密匙</w:t>
      </w:r>
      <w:r>
        <w:rPr>
          <w:rFonts w:hint="eastAsia" w:ascii="宋体" w:hAnsi="宋体" w:cs="宋体"/>
          <w:color w:val="auto"/>
          <w:sz w:val="24"/>
          <w:highlight w:val="none"/>
        </w:rPr>
        <w:t>登录焦作市公共资源交易中心网站会员系统进行网上下载文件的，投标视为无效；</w:t>
      </w:r>
    </w:p>
    <w:p w14:paraId="77AF0A9B">
      <w:pPr>
        <w:pStyle w:val="23"/>
        <w:spacing w:before="0" w:beforeAutospacing="0" w:after="0" w:afterAutospacing="0" w:line="360" w:lineRule="auto"/>
        <w:ind w:firstLine="480" w:firstLineChars="200"/>
        <w:jc w:val="both"/>
        <w:rPr>
          <w:color w:val="auto"/>
          <w:highlight w:val="none"/>
        </w:rPr>
      </w:pPr>
      <w:r>
        <w:rPr>
          <w:rFonts w:hint="eastAsia"/>
          <w:color w:val="auto"/>
          <w:highlight w:val="none"/>
        </w:rPr>
        <w:t>2、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按要求解密投标文件。因文件未及时上传导致投标失败的责任由投标人自行承担，具体要求详见招标文件。 平台统一技术服务电话：400-998-0000，服务 QQ：4008503300，服务时间：周一至周日 8：00-17：30。</w:t>
      </w:r>
    </w:p>
    <w:p w14:paraId="2BB8DBD9">
      <w:pPr>
        <w:pStyle w:val="23"/>
        <w:spacing w:before="0" w:beforeAutospacing="0" w:after="0" w:afterAutospacing="0" w:line="360" w:lineRule="auto"/>
        <w:ind w:firstLine="480" w:firstLineChars="200"/>
        <w:jc w:val="both"/>
        <w:rPr>
          <w:color w:val="auto"/>
          <w:highlight w:val="none"/>
        </w:rPr>
      </w:pPr>
      <w:r>
        <w:rPr>
          <w:rFonts w:hint="eastAsia"/>
          <w:color w:val="auto"/>
          <w:highlight w:val="none"/>
        </w:rPr>
        <w:t>投标人无需到现场参加开标会议，无需到达现场提交原件资料。投标人应当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14:paraId="317ED367">
      <w:pPr>
        <w:pStyle w:val="23"/>
        <w:numPr>
          <w:ilvl w:val="0"/>
          <w:numId w:val="2"/>
        </w:numPr>
        <w:spacing w:before="0" w:beforeAutospacing="0" w:after="0" w:afterAutospacing="0" w:line="360" w:lineRule="auto"/>
        <w:ind w:firstLine="480" w:firstLineChars="200"/>
        <w:jc w:val="both"/>
        <w:rPr>
          <w:color w:val="auto"/>
          <w:highlight w:val="none"/>
        </w:rPr>
      </w:pPr>
      <w:r>
        <w:rPr>
          <w:rFonts w:hint="eastAsia"/>
          <w:color w:val="auto"/>
          <w:highlight w:val="none"/>
        </w:rPr>
        <w:t>有下列情形之一的，将作为自动放弃、无效投标或废标处理：</w:t>
      </w:r>
    </w:p>
    <w:p w14:paraId="5262064A">
      <w:pPr>
        <w:pStyle w:val="23"/>
        <w:spacing w:before="0" w:beforeAutospacing="0" w:after="0" w:afterAutospacing="0" w:line="360" w:lineRule="auto"/>
        <w:ind w:firstLine="480" w:firstLineChars="200"/>
        <w:jc w:val="both"/>
        <w:rPr>
          <w:color w:val="auto"/>
          <w:highlight w:val="none"/>
        </w:rPr>
      </w:pPr>
      <w:r>
        <w:rPr>
          <w:rFonts w:hint="eastAsia"/>
          <w:color w:val="auto"/>
          <w:highlight w:val="none"/>
        </w:rPr>
        <w:t>（1）在投标文件中对同一采购项目有两个或多个报价，且未声明哪一个有效的；</w:t>
      </w:r>
    </w:p>
    <w:p w14:paraId="09963AF7">
      <w:pPr>
        <w:pStyle w:val="23"/>
        <w:spacing w:before="0" w:beforeAutospacing="0" w:after="0" w:afterAutospacing="0" w:line="360" w:lineRule="auto"/>
        <w:ind w:firstLine="480" w:firstLineChars="200"/>
        <w:jc w:val="both"/>
        <w:rPr>
          <w:color w:val="auto"/>
          <w:highlight w:val="none"/>
        </w:rPr>
      </w:pPr>
      <w:r>
        <w:rPr>
          <w:rFonts w:hint="eastAsia"/>
          <w:color w:val="auto"/>
          <w:highlight w:val="none"/>
        </w:rPr>
        <w:t>（2）响应文件的关键内容（投标报价、合同履行期限（供货及安装期）、质量标准</w:t>
      </w:r>
      <w:r>
        <w:rPr>
          <w:rFonts w:hint="eastAsia"/>
          <w:color w:val="auto"/>
          <w:highlight w:val="none"/>
          <w:lang w:eastAsia="zh-CN"/>
        </w:rPr>
        <w:t>、</w:t>
      </w:r>
      <w:r>
        <w:rPr>
          <w:rFonts w:hint="eastAsia"/>
          <w:color w:val="auto"/>
          <w:highlight w:val="none"/>
          <w:lang w:val="en-US" w:eastAsia="zh-CN"/>
        </w:rPr>
        <w:t>品牌、型号、投标有效期</w:t>
      </w:r>
      <w:r>
        <w:rPr>
          <w:rFonts w:hint="eastAsia"/>
          <w:color w:val="auto"/>
          <w:highlight w:val="none"/>
        </w:rPr>
        <w:t>等））未填写或填写字迹模糊无法辨认的；</w:t>
      </w:r>
    </w:p>
    <w:p w14:paraId="1C6F29C9">
      <w:pPr>
        <w:pStyle w:val="23"/>
        <w:spacing w:before="0" w:beforeAutospacing="0" w:after="0" w:afterAutospacing="0" w:line="360" w:lineRule="auto"/>
        <w:ind w:firstLine="480" w:firstLineChars="200"/>
        <w:jc w:val="both"/>
        <w:rPr>
          <w:color w:val="auto"/>
          <w:highlight w:val="none"/>
        </w:rPr>
      </w:pPr>
      <w:r>
        <w:rPr>
          <w:rFonts w:hint="eastAsia"/>
          <w:color w:val="auto"/>
          <w:highlight w:val="none"/>
        </w:rPr>
        <w:t>（3）相关资格证明文件不合格的；</w:t>
      </w:r>
    </w:p>
    <w:p w14:paraId="4D8F46BF">
      <w:pPr>
        <w:pStyle w:val="23"/>
        <w:spacing w:before="0" w:beforeAutospacing="0" w:after="0" w:afterAutospacing="0" w:line="360" w:lineRule="auto"/>
        <w:ind w:firstLine="480" w:firstLineChars="200"/>
        <w:jc w:val="both"/>
        <w:rPr>
          <w:color w:val="auto"/>
          <w:highlight w:val="none"/>
        </w:rPr>
      </w:pPr>
      <w:r>
        <w:rPr>
          <w:rFonts w:hint="eastAsia"/>
          <w:color w:val="auto"/>
          <w:highlight w:val="none"/>
        </w:rPr>
        <w:t>（4）投标报价超出</w:t>
      </w:r>
      <w:r>
        <w:rPr>
          <w:rFonts w:hint="eastAsia"/>
          <w:color w:val="auto"/>
          <w:highlight w:val="none"/>
          <w:lang w:eastAsia="zh-CN"/>
        </w:rPr>
        <w:t>最高限价</w:t>
      </w:r>
      <w:r>
        <w:rPr>
          <w:rFonts w:hint="eastAsia"/>
          <w:color w:val="auto"/>
          <w:highlight w:val="none"/>
        </w:rPr>
        <w:t>的；</w:t>
      </w:r>
    </w:p>
    <w:p w14:paraId="39A8AA50">
      <w:pPr>
        <w:pStyle w:val="23"/>
        <w:spacing w:before="0" w:beforeAutospacing="0" w:after="0" w:afterAutospacing="0" w:line="360" w:lineRule="auto"/>
        <w:ind w:firstLine="480" w:firstLineChars="200"/>
        <w:jc w:val="both"/>
        <w:rPr>
          <w:color w:val="auto"/>
          <w:highlight w:val="none"/>
        </w:rPr>
      </w:pPr>
      <w:r>
        <w:rPr>
          <w:rFonts w:hint="eastAsia"/>
          <w:color w:val="auto"/>
          <w:highlight w:val="none"/>
        </w:rPr>
        <w:t>（5）投标文件中附有采购人不能接受的条件的；</w:t>
      </w:r>
    </w:p>
    <w:p w14:paraId="323F87EB">
      <w:pPr>
        <w:pStyle w:val="23"/>
        <w:spacing w:before="0" w:beforeAutospacing="0" w:after="0" w:afterAutospacing="0" w:line="360" w:lineRule="auto"/>
        <w:ind w:firstLine="480" w:firstLineChars="200"/>
        <w:jc w:val="both"/>
        <w:rPr>
          <w:color w:val="auto"/>
          <w:highlight w:val="none"/>
        </w:rPr>
      </w:pPr>
      <w:r>
        <w:rPr>
          <w:rFonts w:hint="eastAsia"/>
          <w:color w:val="auto"/>
          <w:highlight w:val="none"/>
        </w:rPr>
        <w:t>（6）投标文件有明显不符合采购文件其它要求和有关法律法规的；</w:t>
      </w:r>
    </w:p>
    <w:p w14:paraId="0854F03B">
      <w:pPr>
        <w:pStyle w:val="23"/>
        <w:spacing w:before="0" w:beforeAutospacing="0" w:after="0" w:afterAutospacing="0" w:line="360" w:lineRule="auto"/>
        <w:ind w:firstLine="480" w:firstLineChars="200"/>
        <w:jc w:val="both"/>
        <w:rPr>
          <w:color w:val="auto"/>
          <w:highlight w:val="none"/>
        </w:rPr>
      </w:pPr>
      <w:r>
        <w:rPr>
          <w:rFonts w:hint="eastAsia"/>
          <w:color w:val="auto"/>
          <w:highlight w:val="none"/>
        </w:rPr>
        <w:t>（7）如因两个或两个以上投标人使用同一台计算或同一个IP上传响应文件，被不见面开标系统提示为“投标文件制作机器码一致”的，则视其投标无效。若经查实有《政府采购法实施条例》第七十四条情形，监管部门将依法做出处理；</w:t>
      </w:r>
    </w:p>
    <w:p w14:paraId="6CB88FC0">
      <w:pPr>
        <w:pStyle w:val="23"/>
        <w:spacing w:before="0" w:beforeAutospacing="0" w:after="0" w:afterAutospacing="0" w:line="360" w:lineRule="auto"/>
        <w:ind w:firstLine="480" w:firstLineChars="200"/>
        <w:jc w:val="both"/>
        <w:rPr>
          <w:color w:val="auto"/>
          <w:highlight w:val="none"/>
        </w:rPr>
      </w:pPr>
      <w:r>
        <w:rPr>
          <w:rFonts w:hint="eastAsia"/>
          <w:color w:val="auto"/>
          <w:highlight w:val="none"/>
        </w:rPr>
        <w:t>（8）在评标过程中，评标委员会发现投标单位的报价明显低于其它投标报价，使得其投标报价可能低于其个别成本的，应当要求该投标人作出书面说明并提供相关证明材料。投标人不能合理说明或者不能提供相关证明材料的，由评标委员会认定该投标人以低于成本报价竞标的。</w:t>
      </w:r>
    </w:p>
    <w:p w14:paraId="500F52EC">
      <w:pPr>
        <w:pStyle w:val="23"/>
        <w:spacing w:before="0" w:beforeAutospacing="0" w:after="0" w:afterAutospacing="0" w:line="360" w:lineRule="auto"/>
        <w:ind w:firstLine="482" w:firstLineChars="200"/>
        <w:jc w:val="both"/>
        <w:rPr>
          <w:b/>
          <w:bCs/>
          <w:color w:val="auto"/>
          <w:highlight w:val="none"/>
        </w:rPr>
      </w:pPr>
      <w:r>
        <w:rPr>
          <w:rFonts w:hint="eastAsia"/>
          <w:b/>
          <w:bCs/>
          <w:color w:val="auto"/>
          <w:highlight w:val="none"/>
        </w:rPr>
        <w:t>注：中标结果确定后，按照此文件合同文本签订正式合同，签订合同后一个工作日内完成合同备案公示。</w:t>
      </w:r>
    </w:p>
    <w:p w14:paraId="352B35DB">
      <w:pPr>
        <w:spacing w:line="360" w:lineRule="auto"/>
        <w:rPr>
          <w:rFonts w:ascii="宋体" w:hAnsi="宋体" w:cs="宋体"/>
          <w:color w:val="auto"/>
          <w:highlight w:val="none"/>
        </w:rPr>
      </w:pPr>
    </w:p>
    <w:p w14:paraId="7C0E0DAA">
      <w:pPr>
        <w:rPr>
          <w:rFonts w:ascii="宋体" w:hAnsi="宋体" w:cs="宋体"/>
          <w:color w:val="auto"/>
          <w:highlight w:val="none"/>
        </w:rPr>
      </w:pPr>
      <w:r>
        <w:rPr>
          <w:rFonts w:hint="eastAsia" w:ascii="宋体" w:hAnsi="宋体" w:cs="宋体"/>
          <w:color w:val="auto"/>
          <w:highlight w:val="none"/>
        </w:rPr>
        <w:br w:type="page"/>
      </w:r>
    </w:p>
    <w:p w14:paraId="2F757EAF">
      <w:pPr>
        <w:pStyle w:val="24"/>
        <w:spacing w:before="0" w:after="0" w:line="360" w:lineRule="auto"/>
        <w:rPr>
          <w:rFonts w:ascii="宋体" w:hAnsi="宋体" w:eastAsia="宋体" w:cs="宋体"/>
          <w:bCs/>
          <w:color w:val="auto"/>
          <w:highlight w:val="none"/>
        </w:rPr>
      </w:pPr>
      <w:bookmarkStart w:id="3" w:name="_Toc2516"/>
      <w:r>
        <w:rPr>
          <w:rFonts w:hint="eastAsia" w:ascii="宋体" w:hAnsi="宋体" w:eastAsia="宋体" w:cs="宋体"/>
          <w:color w:val="auto"/>
          <w:highlight w:val="none"/>
        </w:rPr>
        <w:t>第一章</w:t>
      </w:r>
      <w:r>
        <w:rPr>
          <w:rFonts w:hint="eastAsia" w:ascii="宋体" w:hAnsi="宋体" w:eastAsia="宋体" w:cs="宋体"/>
          <w:bCs/>
          <w:color w:val="auto"/>
          <w:highlight w:val="none"/>
        </w:rPr>
        <w:t xml:space="preserve"> 招标公告</w:t>
      </w:r>
      <w:bookmarkEnd w:id="3"/>
    </w:p>
    <w:p w14:paraId="4A24DA82">
      <w:pPr>
        <w:pStyle w:val="24"/>
        <w:keepNext w:val="0"/>
        <w:keepLines w:val="0"/>
        <w:pageBreakBefore w:val="0"/>
        <w:kinsoku/>
        <w:wordWrap/>
        <w:overflowPunct/>
        <w:topLinePunct w:val="0"/>
        <w:autoSpaceDE/>
        <w:autoSpaceDN/>
        <w:bidi w:val="0"/>
        <w:spacing w:before="0" w:after="0" w:line="440" w:lineRule="exact"/>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博爱县教育体育局焦作新材料职业学院图书、教学设备、实验设备等采购项目</w:t>
      </w:r>
    </w:p>
    <w:p w14:paraId="1ADFA6C2">
      <w:pPr>
        <w:pStyle w:val="24"/>
        <w:keepNext w:val="0"/>
        <w:keepLines w:val="0"/>
        <w:pageBreakBefore w:val="0"/>
        <w:kinsoku/>
        <w:wordWrap/>
        <w:overflowPunct/>
        <w:topLinePunct w:val="0"/>
        <w:autoSpaceDE/>
        <w:autoSpaceDN/>
        <w:bidi w:val="0"/>
        <w:spacing w:before="0" w:after="0" w:line="440" w:lineRule="exact"/>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lang w:val="en-US" w:eastAsia="zh-CN"/>
        </w:rPr>
        <w:t>二标段</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二次</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项目</w:t>
      </w:r>
      <w:r>
        <w:rPr>
          <w:rFonts w:hint="eastAsia" w:ascii="宋体" w:hAnsi="宋体" w:eastAsia="宋体" w:cs="宋体"/>
          <w:b/>
          <w:bCs/>
          <w:color w:val="auto"/>
          <w:sz w:val="24"/>
          <w:szCs w:val="24"/>
          <w:highlight w:val="none"/>
          <w:lang w:eastAsia="zh-CN"/>
        </w:rPr>
        <w:t>招标公告（</w:t>
      </w:r>
      <w:r>
        <w:rPr>
          <w:rFonts w:hint="eastAsia" w:ascii="宋体" w:hAnsi="宋体" w:eastAsia="宋体" w:cs="宋体"/>
          <w:b/>
          <w:bCs/>
          <w:color w:val="auto"/>
          <w:sz w:val="24"/>
          <w:szCs w:val="24"/>
          <w:highlight w:val="none"/>
          <w:lang w:val="en-US" w:eastAsia="zh-CN"/>
        </w:rPr>
        <w:t>不见面开标</w:t>
      </w:r>
      <w:r>
        <w:rPr>
          <w:rFonts w:hint="eastAsia" w:ascii="宋体" w:hAnsi="宋体" w:eastAsia="宋体" w:cs="宋体"/>
          <w:b/>
          <w:bCs/>
          <w:color w:val="auto"/>
          <w:sz w:val="24"/>
          <w:szCs w:val="24"/>
          <w:highlight w:val="none"/>
          <w:lang w:eastAsia="zh-CN"/>
        </w:rPr>
        <w:t>）</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95"/>
      </w:tblGrid>
      <w:tr w14:paraId="3D179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3" w:type="dxa"/>
          </w:tcPr>
          <w:p w14:paraId="372DC844">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项目概况</w:t>
            </w:r>
            <w:r>
              <w:rPr>
                <w:rFonts w:hint="eastAsia" w:cs="宋体"/>
                <w:color w:val="auto"/>
                <w:sz w:val="24"/>
                <w:szCs w:val="24"/>
                <w:highlight w:val="none"/>
                <w:lang w:eastAsia="zh-CN"/>
              </w:rPr>
              <w:t>：</w:t>
            </w:r>
            <w:r>
              <w:rPr>
                <w:rFonts w:hint="eastAsia" w:cs="宋体"/>
                <w:color w:val="auto"/>
                <w:sz w:val="24"/>
                <w:szCs w:val="24"/>
                <w:highlight w:val="none"/>
                <w:lang w:eastAsia="zh-CN"/>
              </w:rPr>
              <w:t>博爱县教育体育局焦作新材料职业学院图书、教学设备、实验设备等采购项目</w:t>
            </w:r>
            <w:r>
              <w:rPr>
                <w:rFonts w:hint="eastAsia" w:cs="宋体"/>
                <w:color w:val="auto"/>
                <w:sz w:val="24"/>
                <w:szCs w:val="24"/>
                <w:highlight w:val="none"/>
                <w:lang w:val="en-US" w:eastAsia="zh-CN"/>
              </w:rPr>
              <w:t>二标段</w:t>
            </w:r>
            <w:r>
              <w:rPr>
                <w:rFonts w:hint="eastAsia" w:cs="宋体"/>
                <w:color w:val="auto"/>
                <w:sz w:val="24"/>
                <w:szCs w:val="24"/>
                <w:highlight w:val="none"/>
                <w:lang w:eastAsia="zh-CN"/>
              </w:rPr>
              <w:t>（</w:t>
            </w:r>
            <w:r>
              <w:rPr>
                <w:rFonts w:hint="eastAsia" w:cs="宋体"/>
                <w:color w:val="auto"/>
                <w:sz w:val="24"/>
                <w:szCs w:val="24"/>
                <w:highlight w:val="none"/>
                <w:lang w:val="en-US" w:eastAsia="zh-CN"/>
              </w:rPr>
              <w:t>二次</w:t>
            </w:r>
            <w:r>
              <w:rPr>
                <w:rFonts w:hint="eastAsia" w:cs="宋体"/>
                <w:color w:val="auto"/>
                <w:sz w:val="24"/>
                <w:szCs w:val="24"/>
                <w:highlight w:val="none"/>
                <w:lang w:eastAsia="zh-CN"/>
              </w:rPr>
              <w:t>）</w:t>
            </w:r>
            <w:r>
              <w:rPr>
                <w:rFonts w:hint="eastAsia" w:cs="宋体"/>
                <w:color w:val="auto"/>
                <w:sz w:val="24"/>
                <w:szCs w:val="24"/>
                <w:highlight w:val="none"/>
                <w:lang w:val="en-US" w:eastAsia="zh-CN"/>
              </w:rPr>
              <w:t>项目</w:t>
            </w:r>
            <w:r>
              <w:rPr>
                <w:rFonts w:hint="eastAsia" w:ascii="宋体" w:hAnsi="宋体" w:eastAsia="宋体" w:cs="宋体"/>
                <w:color w:val="auto"/>
                <w:sz w:val="24"/>
                <w:szCs w:val="24"/>
                <w:highlight w:val="none"/>
              </w:rPr>
              <w:t>的潜在供应商应在焦作市公共资源交易中心网站获取采购文件，并于</w:t>
            </w:r>
            <w:r>
              <w:rPr>
                <w:rFonts w:hint="eastAsia" w:cs="宋体"/>
                <w:color w:val="auto"/>
                <w:sz w:val="24"/>
                <w:szCs w:val="24"/>
                <w:highlight w:val="none"/>
                <w:lang w:val="en-US" w:eastAsia="zh-CN"/>
              </w:rPr>
              <w:t>2024</w:t>
            </w:r>
            <w:r>
              <w:rPr>
                <w:rFonts w:hint="eastAsia" w:ascii="宋体" w:hAnsi="宋体" w:eastAsia="宋体" w:cs="宋体"/>
                <w:color w:val="auto"/>
                <w:sz w:val="24"/>
                <w:szCs w:val="24"/>
                <w:highlight w:val="none"/>
              </w:rPr>
              <w:t>年</w:t>
            </w:r>
            <w:r>
              <w:rPr>
                <w:rFonts w:hint="eastAsia" w:cs="宋体"/>
                <w:color w:val="auto"/>
                <w:sz w:val="24"/>
                <w:szCs w:val="24"/>
                <w:highlight w:val="none"/>
                <w:lang w:val="en-US" w:eastAsia="zh-CN"/>
              </w:rPr>
              <w:t>09</w:t>
            </w:r>
            <w:r>
              <w:rPr>
                <w:rFonts w:hint="eastAsia" w:ascii="宋体" w:hAnsi="宋体" w:eastAsia="宋体" w:cs="宋体"/>
                <w:color w:val="auto"/>
                <w:sz w:val="24"/>
                <w:szCs w:val="24"/>
                <w:highlight w:val="none"/>
              </w:rPr>
              <w:t>月</w:t>
            </w:r>
            <w:r>
              <w:rPr>
                <w:rFonts w:hint="eastAsia" w:cs="宋体"/>
                <w:color w:val="auto"/>
                <w:sz w:val="24"/>
                <w:szCs w:val="24"/>
                <w:highlight w:val="none"/>
                <w:lang w:val="en-US" w:eastAsia="zh-CN"/>
              </w:rPr>
              <w:t>19</w:t>
            </w:r>
            <w:r>
              <w:rPr>
                <w:rFonts w:hint="eastAsia" w:ascii="宋体" w:hAnsi="宋体" w:eastAsia="宋体" w:cs="宋体"/>
                <w:color w:val="auto"/>
                <w:sz w:val="24"/>
                <w:szCs w:val="24"/>
                <w:highlight w:val="none"/>
              </w:rPr>
              <w:t>日09时00分</w:t>
            </w:r>
            <w:r>
              <w:rPr>
                <w:rFonts w:hint="eastAsia" w:ascii="宋体" w:hAnsi="宋体" w:eastAsia="宋体" w:cs="宋体"/>
                <w:color w:val="auto"/>
                <w:sz w:val="24"/>
                <w:szCs w:val="24"/>
                <w:highlight w:val="none"/>
              </w:rPr>
              <w:t>（北京时间）前递交响应文件。</w:t>
            </w:r>
          </w:p>
        </w:tc>
      </w:tr>
    </w:tbl>
    <w:p w14:paraId="75DFEC33">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一、项目基本情况</w:t>
      </w:r>
    </w:p>
    <w:p w14:paraId="225B2F0E">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1.采购编号</w:t>
      </w:r>
      <w:r>
        <w:rPr>
          <w:rFonts w:hint="eastAsia" w:ascii="宋体" w:hAnsi="宋体" w:eastAsia="宋体" w:cs="宋体"/>
          <w:color w:val="auto"/>
          <w:sz w:val="24"/>
          <w:szCs w:val="24"/>
          <w:highlight w:val="none"/>
          <w:lang w:eastAsia="zh-CN"/>
        </w:rPr>
        <w:t>：博政采购〔202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w:t>
      </w:r>
      <w:r>
        <w:rPr>
          <w:rFonts w:hint="eastAsia" w:cs="宋体"/>
          <w:color w:val="auto"/>
          <w:sz w:val="24"/>
          <w:szCs w:val="24"/>
          <w:highlight w:val="none"/>
          <w:lang w:val="en-US" w:eastAsia="zh-CN"/>
        </w:rPr>
        <w:t>85</w:t>
      </w:r>
      <w:r>
        <w:rPr>
          <w:rFonts w:hint="eastAsia" w:ascii="宋体" w:hAnsi="宋体" w:eastAsia="宋体" w:cs="宋体"/>
          <w:color w:val="auto"/>
          <w:sz w:val="24"/>
          <w:szCs w:val="24"/>
          <w:highlight w:val="none"/>
          <w:lang w:eastAsia="zh-CN"/>
        </w:rPr>
        <w:t>号</w:t>
      </w:r>
      <w:r>
        <w:rPr>
          <w:rFonts w:hint="eastAsia" w:ascii="宋体" w:hAnsi="宋体" w:eastAsia="宋体" w:cs="宋体"/>
          <w:color w:val="auto"/>
          <w:sz w:val="24"/>
          <w:szCs w:val="24"/>
          <w:highlight w:val="none"/>
          <w:lang w:val="en-US" w:eastAsia="zh-CN"/>
        </w:rPr>
        <w:t>-2</w:t>
      </w:r>
    </w:p>
    <w:p w14:paraId="2835D686">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2.项目名称：博爱县教育体育局焦作新材料职业学院图书、教学设备、实验设备等采购项目</w:t>
      </w:r>
      <w:r>
        <w:rPr>
          <w:rFonts w:hint="eastAsia" w:cs="宋体"/>
          <w:color w:val="auto"/>
          <w:sz w:val="24"/>
          <w:szCs w:val="24"/>
          <w:highlight w:val="none"/>
          <w:lang w:val="en-US" w:eastAsia="zh-CN"/>
        </w:rPr>
        <w:t>二标段</w:t>
      </w:r>
      <w:r>
        <w:rPr>
          <w:rFonts w:hint="eastAsia" w:cs="宋体"/>
          <w:color w:val="auto"/>
          <w:sz w:val="24"/>
          <w:szCs w:val="24"/>
          <w:highlight w:val="none"/>
          <w:lang w:eastAsia="zh-CN"/>
        </w:rPr>
        <w:t>（</w:t>
      </w:r>
      <w:r>
        <w:rPr>
          <w:rFonts w:hint="eastAsia" w:cs="宋体"/>
          <w:color w:val="auto"/>
          <w:sz w:val="24"/>
          <w:szCs w:val="24"/>
          <w:highlight w:val="none"/>
          <w:lang w:val="en-US" w:eastAsia="zh-CN"/>
        </w:rPr>
        <w:t>二次</w:t>
      </w:r>
      <w:r>
        <w:rPr>
          <w:rFonts w:hint="eastAsia" w:cs="宋体"/>
          <w:color w:val="auto"/>
          <w:sz w:val="24"/>
          <w:szCs w:val="24"/>
          <w:highlight w:val="none"/>
          <w:lang w:eastAsia="zh-CN"/>
        </w:rPr>
        <w:t>）</w:t>
      </w:r>
      <w:r>
        <w:rPr>
          <w:rFonts w:hint="eastAsia" w:cs="宋体"/>
          <w:color w:val="auto"/>
          <w:sz w:val="24"/>
          <w:szCs w:val="24"/>
          <w:highlight w:val="none"/>
          <w:lang w:val="en-US" w:eastAsia="zh-CN"/>
        </w:rPr>
        <w:t>项目</w:t>
      </w:r>
    </w:p>
    <w:p w14:paraId="63FC3D41">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3.采购方式：公开招标</w:t>
      </w:r>
    </w:p>
    <w:p w14:paraId="3842B02D">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4.预算金额</w:t>
      </w:r>
      <w:r>
        <w:rPr>
          <w:rFonts w:hint="eastAsia" w:ascii="宋体" w:hAnsi="宋体" w:eastAsia="宋体" w:cs="宋体"/>
          <w:color w:val="auto"/>
          <w:sz w:val="24"/>
          <w:szCs w:val="24"/>
          <w:highlight w:val="none"/>
          <w:lang w:eastAsia="zh-CN"/>
        </w:rPr>
        <w:t>：</w:t>
      </w:r>
      <w:r>
        <w:rPr>
          <w:rFonts w:hint="eastAsia" w:cs="宋体"/>
          <w:color w:val="auto"/>
          <w:sz w:val="24"/>
          <w:szCs w:val="24"/>
          <w:highlight w:val="none"/>
          <w:lang w:val="en-US" w:eastAsia="zh-CN"/>
        </w:rPr>
        <w:t>9400000.00</w:t>
      </w:r>
      <w:r>
        <w:rPr>
          <w:rFonts w:hint="eastAsia" w:ascii="宋体" w:hAnsi="宋体" w:eastAsia="宋体" w:cs="宋体"/>
          <w:color w:val="auto"/>
          <w:sz w:val="24"/>
          <w:szCs w:val="24"/>
          <w:highlight w:val="none"/>
          <w:lang w:eastAsia="zh-CN"/>
        </w:rPr>
        <w:t>元</w:t>
      </w:r>
    </w:p>
    <w:p w14:paraId="3D657A2C">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最高限价：</w:t>
      </w:r>
      <w:r>
        <w:rPr>
          <w:rFonts w:hint="eastAsia" w:cs="宋体"/>
          <w:color w:val="auto"/>
          <w:sz w:val="24"/>
          <w:szCs w:val="24"/>
          <w:highlight w:val="none"/>
          <w:lang w:eastAsia="zh-CN"/>
        </w:rPr>
        <w:t>9400000.00</w:t>
      </w:r>
      <w:r>
        <w:rPr>
          <w:rFonts w:hint="eastAsia" w:ascii="宋体" w:hAnsi="宋体" w:eastAsia="宋体" w:cs="宋体"/>
          <w:color w:val="auto"/>
          <w:sz w:val="24"/>
          <w:szCs w:val="24"/>
          <w:highlight w:val="none"/>
          <w:lang w:eastAsia="zh-CN"/>
        </w:rPr>
        <w:t>元</w:t>
      </w:r>
    </w:p>
    <w:tbl>
      <w:tblPr>
        <w:tblStyle w:val="28"/>
        <w:tblW w:w="977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764"/>
        <w:gridCol w:w="2906"/>
        <w:gridCol w:w="2644"/>
        <w:gridCol w:w="1808"/>
        <w:gridCol w:w="1654"/>
      </w:tblGrid>
      <w:tr w14:paraId="15C45F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8" w:hRule="atLeast"/>
          <w:jc w:val="center"/>
        </w:trPr>
        <w:tc>
          <w:tcPr>
            <w:tcW w:w="76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61CC8D2E">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290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3B4A8716">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包号</w:t>
            </w:r>
          </w:p>
        </w:tc>
        <w:tc>
          <w:tcPr>
            <w:tcW w:w="264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505B6DFA">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包名称</w:t>
            </w:r>
          </w:p>
        </w:tc>
        <w:tc>
          <w:tcPr>
            <w:tcW w:w="1808"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63C5DCE7">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包预算</w:t>
            </w:r>
          </w:p>
          <w:p w14:paraId="38ACCF0F">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（元）</w:t>
            </w:r>
          </w:p>
        </w:tc>
        <w:tc>
          <w:tcPr>
            <w:tcW w:w="165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6A2CBF88">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包最高限价</w:t>
            </w:r>
          </w:p>
          <w:p w14:paraId="41FFDBCF">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（元）</w:t>
            </w:r>
          </w:p>
        </w:tc>
      </w:tr>
      <w:tr w14:paraId="6A3572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8" w:hRule="atLeast"/>
          <w:jc w:val="center"/>
        </w:trPr>
        <w:tc>
          <w:tcPr>
            <w:tcW w:w="76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4F1DB25A">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default" w:ascii="宋体" w:hAnsi="宋体" w:eastAsia="宋体" w:cs="宋体"/>
                <w:color w:val="auto"/>
                <w:sz w:val="24"/>
                <w:szCs w:val="24"/>
                <w:highlight w:val="none"/>
                <w:lang w:val="en-US" w:eastAsia="zh-CN"/>
              </w:rPr>
            </w:pPr>
            <w:r>
              <w:rPr>
                <w:rFonts w:hint="eastAsia" w:cs="宋体"/>
                <w:color w:val="auto"/>
                <w:sz w:val="24"/>
                <w:szCs w:val="24"/>
                <w:highlight w:val="none"/>
                <w:lang w:val="en-US" w:eastAsia="zh-CN"/>
              </w:rPr>
              <w:t>1</w:t>
            </w:r>
          </w:p>
        </w:tc>
        <w:tc>
          <w:tcPr>
            <w:tcW w:w="290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137FF3B2">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博政采购〔202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w:t>
            </w:r>
            <w:r>
              <w:rPr>
                <w:rFonts w:hint="eastAsia" w:cs="宋体"/>
                <w:color w:val="auto"/>
                <w:sz w:val="24"/>
                <w:szCs w:val="24"/>
                <w:highlight w:val="none"/>
                <w:lang w:val="en-US" w:eastAsia="zh-CN"/>
              </w:rPr>
              <w:t>85</w:t>
            </w:r>
            <w:r>
              <w:rPr>
                <w:rFonts w:hint="eastAsia" w:ascii="宋体" w:hAnsi="宋体" w:eastAsia="宋体" w:cs="宋体"/>
                <w:color w:val="auto"/>
                <w:sz w:val="24"/>
                <w:szCs w:val="24"/>
                <w:highlight w:val="none"/>
                <w:lang w:eastAsia="zh-CN"/>
              </w:rPr>
              <w:t>号</w:t>
            </w:r>
            <w:r>
              <w:rPr>
                <w:rFonts w:hint="eastAsia"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w:t>
            </w:r>
            <w:r>
              <w:rPr>
                <w:rFonts w:hint="eastAsia" w:cs="宋体"/>
                <w:color w:val="auto"/>
                <w:sz w:val="24"/>
                <w:szCs w:val="24"/>
                <w:highlight w:val="none"/>
                <w:lang w:val="en-US" w:eastAsia="zh-CN"/>
              </w:rPr>
              <w:t>1</w:t>
            </w:r>
          </w:p>
        </w:tc>
        <w:tc>
          <w:tcPr>
            <w:tcW w:w="264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3310953B">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auto"/>
                <w:sz w:val="24"/>
                <w:szCs w:val="24"/>
                <w:highlight w:val="none"/>
                <w:lang w:val="en-US" w:eastAsia="zh-CN"/>
              </w:rPr>
            </w:pPr>
            <w:r>
              <w:rPr>
                <w:rFonts w:hint="eastAsia" w:cs="宋体"/>
                <w:color w:val="auto"/>
                <w:sz w:val="24"/>
                <w:szCs w:val="24"/>
                <w:highlight w:val="none"/>
                <w:lang w:val="en-US" w:eastAsia="zh-CN"/>
              </w:rPr>
              <w:t>机房类实训室</w:t>
            </w:r>
            <w:r>
              <w:rPr>
                <w:rFonts w:hint="eastAsia" w:ascii="宋体" w:hAnsi="宋体" w:eastAsia="宋体" w:cs="宋体"/>
                <w:color w:val="auto"/>
                <w:sz w:val="24"/>
                <w:szCs w:val="24"/>
                <w:highlight w:val="none"/>
                <w:lang w:val="en-US" w:eastAsia="zh-CN"/>
              </w:rPr>
              <w:t>设备</w:t>
            </w:r>
          </w:p>
        </w:tc>
        <w:tc>
          <w:tcPr>
            <w:tcW w:w="1808"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7A55EC00">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default" w:ascii="宋体" w:hAnsi="宋体" w:eastAsia="宋体" w:cs="宋体"/>
                <w:color w:val="auto"/>
                <w:sz w:val="24"/>
                <w:szCs w:val="24"/>
                <w:highlight w:val="none"/>
                <w:lang w:val="en-US" w:eastAsia="zh-CN"/>
              </w:rPr>
            </w:pPr>
            <w:r>
              <w:rPr>
                <w:rFonts w:hint="eastAsia" w:cs="宋体"/>
                <w:color w:val="auto"/>
                <w:sz w:val="24"/>
                <w:szCs w:val="24"/>
                <w:highlight w:val="none"/>
                <w:lang w:val="en-US" w:eastAsia="zh-CN"/>
              </w:rPr>
              <w:t>2850000.00</w:t>
            </w:r>
          </w:p>
        </w:tc>
        <w:tc>
          <w:tcPr>
            <w:tcW w:w="165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00149304">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auto"/>
                <w:sz w:val="24"/>
                <w:szCs w:val="24"/>
                <w:highlight w:val="none"/>
                <w:lang w:val="en-US" w:eastAsia="zh-CN"/>
              </w:rPr>
            </w:pPr>
            <w:r>
              <w:rPr>
                <w:rFonts w:hint="eastAsia" w:cs="宋体"/>
                <w:color w:val="auto"/>
                <w:sz w:val="24"/>
                <w:szCs w:val="24"/>
                <w:highlight w:val="none"/>
                <w:lang w:val="en-US" w:eastAsia="zh-CN"/>
              </w:rPr>
              <w:t>2850000.00</w:t>
            </w:r>
          </w:p>
        </w:tc>
      </w:tr>
      <w:tr w14:paraId="0D988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8" w:hRule="atLeast"/>
          <w:jc w:val="center"/>
        </w:trPr>
        <w:tc>
          <w:tcPr>
            <w:tcW w:w="76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1CDFF9B6">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p>
        </w:tc>
        <w:tc>
          <w:tcPr>
            <w:tcW w:w="290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1A7A8547">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博政采购〔202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w:t>
            </w:r>
            <w:r>
              <w:rPr>
                <w:rFonts w:hint="eastAsia" w:cs="宋体"/>
                <w:color w:val="auto"/>
                <w:sz w:val="24"/>
                <w:szCs w:val="24"/>
                <w:highlight w:val="none"/>
                <w:lang w:val="en-US" w:eastAsia="zh-CN"/>
              </w:rPr>
              <w:t>85</w:t>
            </w:r>
            <w:r>
              <w:rPr>
                <w:rFonts w:hint="eastAsia" w:ascii="宋体" w:hAnsi="宋体" w:eastAsia="宋体" w:cs="宋体"/>
                <w:color w:val="auto"/>
                <w:sz w:val="24"/>
                <w:szCs w:val="24"/>
                <w:highlight w:val="none"/>
                <w:lang w:eastAsia="zh-CN"/>
              </w:rPr>
              <w:t>号</w:t>
            </w:r>
            <w:r>
              <w:rPr>
                <w:rFonts w:hint="eastAsia"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w:t>
            </w:r>
            <w:r>
              <w:rPr>
                <w:rFonts w:hint="eastAsia" w:cs="宋体"/>
                <w:color w:val="auto"/>
                <w:sz w:val="24"/>
                <w:szCs w:val="24"/>
                <w:highlight w:val="none"/>
                <w:lang w:val="en-US" w:eastAsia="zh-CN"/>
              </w:rPr>
              <w:t>2</w:t>
            </w:r>
          </w:p>
        </w:tc>
        <w:tc>
          <w:tcPr>
            <w:tcW w:w="264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0BA17C6C">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auto"/>
                <w:sz w:val="24"/>
                <w:szCs w:val="24"/>
                <w:highlight w:val="none"/>
                <w:lang w:val="en-US" w:eastAsia="zh-CN"/>
              </w:rPr>
            </w:pPr>
            <w:r>
              <w:rPr>
                <w:rFonts w:hint="eastAsia" w:cs="宋体"/>
                <w:color w:val="auto"/>
                <w:sz w:val="24"/>
                <w:szCs w:val="24"/>
                <w:highlight w:val="none"/>
                <w:lang w:val="en-US" w:eastAsia="zh-CN"/>
              </w:rPr>
              <w:t>机械类实训室</w:t>
            </w:r>
            <w:r>
              <w:rPr>
                <w:rFonts w:hint="eastAsia" w:ascii="宋体" w:hAnsi="宋体" w:eastAsia="宋体" w:cs="宋体"/>
                <w:color w:val="auto"/>
                <w:sz w:val="24"/>
                <w:szCs w:val="24"/>
                <w:highlight w:val="none"/>
                <w:lang w:val="en-US" w:eastAsia="zh-CN"/>
              </w:rPr>
              <w:t>设备</w:t>
            </w:r>
          </w:p>
        </w:tc>
        <w:tc>
          <w:tcPr>
            <w:tcW w:w="1808"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2F342B81">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default" w:ascii="宋体" w:hAnsi="宋体" w:eastAsia="宋体" w:cs="宋体"/>
                <w:color w:val="auto"/>
                <w:sz w:val="24"/>
                <w:szCs w:val="24"/>
                <w:highlight w:val="none"/>
                <w:lang w:val="en-US" w:eastAsia="zh-CN"/>
              </w:rPr>
            </w:pPr>
            <w:r>
              <w:rPr>
                <w:rFonts w:hint="eastAsia" w:cs="宋体"/>
                <w:color w:val="auto"/>
                <w:sz w:val="24"/>
                <w:szCs w:val="24"/>
                <w:highlight w:val="none"/>
                <w:lang w:val="en-US" w:eastAsia="zh-CN"/>
              </w:rPr>
              <w:t>4800000.00</w:t>
            </w:r>
          </w:p>
        </w:tc>
        <w:tc>
          <w:tcPr>
            <w:tcW w:w="165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5171E471">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auto"/>
                <w:sz w:val="24"/>
                <w:szCs w:val="24"/>
                <w:highlight w:val="none"/>
                <w:lang w:val="en-US" w:eastAsia="zh-CN"/>
              </w:rPr>
            </w:pPr>
            <w:r>
              <w:rPr>
                <w:rFonts w:hint="eastAsia" w:cs="宋体"/>
                <w:color w:val="auto"/>
                <w:sz w:val="24"/>
                <w:szCs w:val="24"/>
                <w:highlight w:val="none"/>
                <w:lang w:val="en-US" w:eastAsia="zh-CN"/>
              </w:rPr>
              <w:t>4800000.00</w:t>
            </w:r>
          </w:p>
        </w:tc>
      </w:tr>
      <w:tr w14:paraId="480A15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8" w:hRule="atLeast"/>
          <w:jc w:val="center"/>
        </w:trPr>
        <w:tc>
          <w:tcPr>
            <w:tcW w:w="76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00C022C0">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w:t>
            </w:r>
          </w:p>
        </w:tc>
        <w:tc>
          <w:tcPr>
            <w:tcW w:w="290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581BEC17">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博政采购〔202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w:t>
            </w:r>
            <w:r>
              <w:rPr>
                <w:rFonts w:hint="eastAsia" w:cs="宋体"/>
                <w:color w:val="auto"/>
                <w:sz w:val="24"/>
                <w:szCs w:val="24"/>
                <w:highlight w:val="none"/>
                <w:lang w:val="en-US" w:eastAsia="zh-CN"/>
              </w:rPr>
              <w:t>85</w:t>
            </w:r>
            <w:r>
              <w:rPr>
                <w:rFonts w:hint="eastAsia" w:ascii="宋体" w:hAnsi="宋体" w:eastAsia="宋体" w:cs="宋体"/>
                <w:color w:val="auto"/>
                <w:sz w:val="24"/>
                <w:szCs w:val="24"/>
                <w:highlight w:val="none"/>
                <w:lang w:eastAsia="zh-CN"/>
              </w:rPr>
              <w:t>号</w:t>
            </w:r>
            <w:r>
              <w:rPr>
                <w:rFonts w:hint="eastAsia"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w:t>
            </w:r>
            <w:r>
              <w:rPr>
                <w:rFonts w:hint="eastAsia" w:cs="宋体"/>
                <w:color w:val="auto"/>
                <w:sz w:val="24"/>
                <w:szCs w:val="24"/>
                <w:highlight w:val="none"/>
                <w:lang w:val="en-US" w:eastAsia="zh-CN"/>
              </w:rPr>
              <w:t>3</w:t>
            </w:r>
          </w:p>
        </w:tc>
        <w:tc>
          <w:tcPr>
            <w:tcW w:w="264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711EB867">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auto"/>
                <w:sz w:val="24"/>
                <w:szCs w:val="24"/>
                <w:highlight w:val="none"/>
                <w:lang w:val="en-US" w:eastAsia="zh-CN"/>
              </w:rPr>
            </w:pPr>
            <w:r>
              <w:rPr>
                <w:rFonts w:hint="eastAsia" w:cs="宋体"/>
                <w:color w:val="auto"/>
                <w:sz w:val="24"/>
                <w:szCs w:val="24"/>
                <w:highlight w:val="none"/>
                <w:lang w:val="en-US" w:eastAsia="zh-CN"/>
              </w:rPr>
              <w:t>化工类实训室</w:t>
            </w:r>
            <w:r>
              <w:rPr>
                <w:rFonts w:hint="eastAsia" w:ascii="宋体" w:hAnsi="宋体" w:eastAsia="宋体" w:cs="宋体"/>
                <w:color w:val="auto"/>
                <w:sz w:val="24"/>
                <w:szCs w:val="24"/>
                <w:highlight w:val="none"/>
                <w:lang w:val="en-US" w:eastAsia="zh-CN"/>
              </w:rPr>
              <w:t>设备</w:t>
            </w:r>
          </w:p>
        </w:tc>
        <w:tc>
          <w:tcPr>
            <w:tcW w:w="1808"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25582DB7">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default" w:ascii="宋体" w:hAnsi="宋体" w:eastAsia="宋体" w:cs="宋体"/>
                <w:color w:val="auto"/>
                <w:sz w:val="24"/>
                <w:szCs w:val="24"/>
                <w:highlight w:val="none"/>
                <w:lang w:val="en-US" w:eastAsia="zh-CN"/>
              </w:rPr>
            </w:pPr>
            <w:r>
              <w:rPr>
                <w:rFonts w:hint="eastAsia" w:cs="宋体"/>
                <w:color w:val="auto"/>
                <w:sz w:val="24"/>
                <w:szCs w:val="24"/>
                <w:highlight w:val="none"/>
                <w:lang w:val="en-US" w:eastAsia="zh-CN"/>
              </w:rPr>
              <w:t>1750000.00</w:t>
            </w:r>
          </w:p>
        </w:tc>
        <w:tc>
          <w:tcPr>
            <w:tcW w:w="165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0690DE66">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auto"/>
                <w:sz w:val="24"/>
                <w:szCs w:val="24"/>
                <w:highlight w:val="none"/>
                <w:lang w:val="en-US" w:eastAsia="zh-CN"/>
              </w:rPr>
            </w:pPr>
            <w:r>
              <w:rPr>
                <w:rFonts w:hint="eastAsia" w:cs="宋体"/>
                <w:color w:val="auto"/>
                <w:sz w:val="24"/>
                <w:szCs w:val="24"/>
                <w:highlight w:val="none"/>
                <w:lang w:val="en-US" w:eastAsia="zh-CN"/>
              </w:rPr>
              <w:t>1750000.00</w:t>
            </w:r>
          </w:p>
        </w:tc>
      </w:tr>
    </w:tbl>
    <w:p w14:paraId="6028BF2A">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5.采购需求（包括但不限于标的的名称、数量、简要技术需求或服务要求等）</w:t>
      </w:r>
    </w:p>
    <w:p w14:paraId="587077B6">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cs="宋体"/>
          <w:color w:val="auto"/>
          <w:sz w:val="24"/>
          <w:szCs w:val="24"/>
          <w:highlight w:val="none"/>
          <w:lang w:eastAsia="zh-CN"/>
        </w:rPr>
        <w:t>本项目主要采购</w:t>
      </w:r>
      <w:r>
        <w:rPr>
          <w:rFonts w:hint="eastAsia" w:cs="宋体"/>
          <w:color w:val="auto"/>
          <w:sz w:val="24"/>
          <w:szCs w:val="24"/>
          <w:highlight w:val="none"/>
          <w:lang w:eastAsia="zh-CN"/>
        </w:rPr>
        <w:t>机房类实训室设备、机械类实训室设备、化工类实训室设备</w:t>
      </w:r>
      <w:r>
        <w:rPr>
          <w:rFonts w:hint="eastAsia" w:cs="宋体"/>
          <w:color w:val="auto"/>
          <w:sz w:val="24"/>
          <w:szCs w:val="24"/>
          <w:highlight w:val="none"/>
          <w:lang w:eastAsia="zh-CN"/>
        </w:rPr>
        <w:t>等</w:t>
      </w:r>
      <w:r>
        <w:rPr>
          <w:rFonts w:hint="eastAsia" w:ascii="宋体" w:hAnsi="宋体" w:eastAsia="宋体" w:cs="宋体"/>
          <w:color w:val="auto"/>
          <w:sz w:val="24"/>
          <w:szCs w:val="24"/>
          <w:highlight w:val="none"/>
          <w:lang w:val="en-US" w:eastAsia="zh-CN"/>
        </w:rPr>
        <w:t>（详见招标文件第五章“采购内容及技术要求”）。</w:t>
      </w:r>
    </w:p>
    <w:p w14:paraId="154EFE1D">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（2）项目地点：采购人指定地点。</w:t>
      </w:r>
    </w:p>
    <w:p w14:paraId="2D765C95">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质量标准：合格，符合国家及行业规范标准。</w:t>
      </w:r>
    </w:p>
    <w:p w14:paraId="0CFA70C6">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）合同履行期限（供货及安装期）：</w:t>
      </w:r>
      <w:r>
        <w:rPr>
          <w:rFonts w:hint="eastAsia" w:ascii="宋体" w:hAnsi="宋体" w:eastAsia="宋体" w:cs="宋体"/>
          <w:color w:val="auto"/>
          <w:sz w:val="24"/>
          <w:szCs w:val="24"/>
          <w:highlight w:val="none"/>
          <w:lang w:val="en-US" w:eastAsia="zh-CN"/>
        </w:rPr>
        <w:t>30日历天。</w:t>
      </w:r>
    </w:p>
    <w:p w14:paraId="17D834DB">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eastAsia="zh-CN"/>
        </w:rPr>
        <w:t>质保期：三年。</w:t>
      </w:r>
    </w:p>
    <w:p w14:paraId="4D6036A3">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.本项目是否接受联合体投标：</w:t>
      </w:r>
      <w:r>
        <w:rPr>
          <w:rFonts w:hint="eastAsia" w:ascii="宋体" w:hAnsi="宋体" w:eastAsia="宋体" w:cs="宋体"/>
          <w:color w:val="auto"/>
          <w:sz w:val="24"/>
          <w:szCs w:val="24"/>
          <w:highlight w:val="none"/>
          <w:lang w:val="en-US" w:eastAsia="zh-CN"/>
        </w:rPr>
        <w:t>否。</w:t>
      </w:r>
    </w:p>
    <w:p w14:paraId="0E5CDB28">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lang w:eastAsia="zh-CN"/>
        </w:rPr>
        <w:t>.是否接受进口产品：否。</w:t>
      </w:r>
    </w:p>
    <w:p w14:paraId="3D66F1BF">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lang w:eastAsia="zh-CN"/>
        </w:rPr>
        <w:t>.是否专门面向中小企业：否</w:t>
      </w:r>
      <w:r>
        <w:rPr>
          <w:rFonts w:hint="eastAsia" w:ascii="宋体" w:hAnsi="宋体" w:eastAsia="宋体" w:cs="宋体"/>
          <w:color w:val="auto"/>
          <w:sz w:val="24"/>
          <w:szCs w:val="24"/>
          <w:highlight w:val="none"/>
          <w:lang w:val="en-US" w:eastAsia="zh-CN"/>
        </w:rPr>
        <w:t>。</w:t>
      </w:r>
    </w:p>
    <w:p w14:paraId="00F2C531">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二、申请人资格要求</w:t>
      </w:r>
    </w:p>
    <w:p w14:paraId="6E81300E">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1.符合《中华人民共和国政府采购法》第二十二条之规定；</w:t>
      </w:r>
    </w:p>
    <w:p w14:paraId="4A5F600C">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2.落实政府采购政策需满足的资格要求：促进中小企业和监狱企业发展扶持政策、政府强制采购节能产品、节能产品及环境标志产品优先采购。</w:t>
      </w:r>
    </w:p>
    <w:p w14:paraId="17BEE034">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3.本项目的特定资格要求：</w:t>
      </w:r>
    </w:p>
    <w:p w14:paraId="790CF4DB">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3.1供应商须具有有效的营业执照，并具有实施完成本项目的经营实力和完善的售后服务体系；</w:t>
      </w:r>
    </w:p>
    <w:p w14:paraId="7EA0A4A6">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w:t>
      </w:r>
    </w:p>
    <w:p w14:paraId="26FC64F5">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3.3本项目不接受联合体投标；</w:t>
      </w:r>
    </w:p>
    <w:p w14:paraId="43AEEF1D">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3.4资格审查方式：资格后审。</w:t>
      </w:r>
    </w:p>
    <w:p w14:paraId="737C50C4">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注：各供应商可就本项目所有标段进行任意投报，但最多只能中取一个标段，</w:t>
      </w:r>
      <w:r>
        <w:rPr>
          <w:rFonts w:hint="default" w:ascii="宋体" w:hAnsi="宋体" w:eastAsia="宋体" w:cs="宋体"/>
          <w:color w:val="auto"/>
          <w:sz w:val="24"/>
          <w:szCs w:val="24"/>
          <w:highlight w:val="none"/>
          <w:lang w:val="en-US" w:eastAsia="zh-CN"/>
        </w:rPr>
        <w:t>若供应商被推荐为第一中标候选人的标段多于一个标段的，则按照标段顺序推荐为第一中标候选人</w:t>
      </w:r>
      <w:r>
        <w:rPr>
          <w:rFonts w:hint="eastAsia" w:ascii="宋体" w:hAnsi="宋体" w:eastAsia="宋体" w:cs="宋体"/>
          <w:color w:val="auto"/>
          <w:sz w:val="24"/>
          <w:szCs w:val="24"/>
          <w:highlight w:val="none"/>
          <w:lang w:val="en-US" w:eastAsia="zh-CN"/>
        </w:rPr>
        <w:t>，在其他标段中，该供应商将不再被推荐为中标候选人，其他供应商依次递补。</w:t>
      </w:r>
    </w:p>
    <w:p w14:paraId="3C9DE5AC">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三、获取采购文件</w:t>
      </w:r>
    </w:p>
    <w:p w14:paraId="6143FAF2">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1.时间</w:t>
      </w:r>
      <w:r>
        <w:rPr>
          <w:rFonts w:hint="eastAsia" w:ascii="宋体" w:hAnsi="宋体" w:eastAsia="宋体" w:cs="宋体"/>
          <w:color w:val="auto"/>
          <w:sz w:val="24"/>
          <w:szCs w:val="24"/>
          <w:highlight w:val="none"/>
          <w:lang w:eastAsia="zh-CN"/>
        </w:rPr>
        <w:t>：2024年</w:t>
      </w:r>
      <w:r>
        <w:rPr>
          <w:rFonts w:hint="eastAsia" w:cs="宋体"/>
          <w:color w:val="auto"/>
          <w:sz w:val="24"/>
          <w:szCs w:val="24"/>
          <w:highlight w:val="none"/>
          <w:lang w:val="en-US" w:eastAsia="zh-CN"/>
        </w:rPr>
        <w:t>08</w:t>
      </w:r>
      <w:r>
        <w:rPr>
          <w:rFonts w:hint="eastAsia" w:ascii="宋体" w:hAnsi="宋体" w:eastAsia="宋体" w:cs="宋体"/>
          <w:color w:val="auto"/>
          <w:sz w:val="24"/>
          <w:szCs w:val="24"/>
          <w:highlight w:val="none"/>
          <w:lang w:eastAsia="zh-CN"/>
        </w:rPr>
        <w:t>月</w:t>
      </w:r>
      <w:r>
        <w:rPr>
          <w:rFonts w:hint="eastAsia" w:cs="宋体"/>
          <w:color w:val="auto"/>
          <w:sz w:val="24"/>
          <w:szCs w:val="24"/>
          <w:highlight w:val="none"/>
          <w:lang w:val="en-US" w:eastAsia="zh-CN"/>
        </w:rPr>
        <w:t>27</w:t>
      </w:r>
      <w:r>
        <w:rPr>
          <w:rFonts w:hint="eastAsia" w:ascii="宋体" w:hAnsi="宋体" w:eastAsia="宋体" w:cs="宋体"/>
          <w:color w:val="auto"/>
          <w:sz w:val="24"/>
          <w:szCs w:val="24"/>
          <w:highlight w:val="none"/>
          <w:lang w:eastAsia="zh-CN"/>
        </w:rPr>
        <w:t>日至2024年</w:t>
      </w:r>
      <w:r>
        <w:rPr>
          <w:rFonts w:hint="eastAsia"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月</w:t>
      </w:r>
      <w:r>
        <w:rPr>
          <w:rFonts w:hint="eastAsia" w:cs="宋体"/>
          <w:color w:val="auto"/>
          <w:sz w:val="24"/>
          <w:szCs w:val="24"/>
          <w:highlight w:val="none"/>
          <w:lang w:val="en-US" w:eastAsia="zh-CN"/>
        </w:rPr>
        <w:t>02</w:t>
      </w:r>
      <w:r>
        <w:rPr>
          <w:rFonts w:hint="eastAsia" w:ascii="宋体" w:hAnsi="宋体" w:eastAsia="宋体" w:cs="宋体"/>
          <w:color w:val="auto"/>
          <w:sz w:val="24"/>
          <w:szCs w:val="24"/>
          <w:highlight w:val="none"/>
          <w:lang w:eastAsia="zh-CN"/>
        </w:rPr>
        <w:t>日</w:t>
      </w:r>
      <w:r>
        <w:rPr>
          <w:rFonts w:hint="eastAsia" w:ascii="宋体" w:hAnsi="宋体" w:eastAsia="宋体" w:cs="宋体"/>
          <w:color w:val="auto"/>
          <w:sz w:val="24"/>
          <w:szCs w:val="24"/>
          <w:highlight w:val="none"/>
          <w:lang w:eastAsia="zh-CN"/>
        </w:rPr>
        <w:t>每天上午08:00至11:59，下午12:00至23:59（北京时间，法定节假日除外）；</w:t>
      </w:r>
    </w:p>
    <w:p w14:paraId="50E0CC57">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2.地点：焦作市公共资源交易中心网站；</w:t>
      </w:r>
    </w:p>
    <w:p w14:paraId="47D6623C">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3.方式：本项目采用电子开评标（不见面开标），凡有意参加投标者，请登陆焦作市公共资源交易中心网站交易平台“交易主体登录”栏目下载</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lang w:eastAsia="zh-CN"/>
        </w:rPr>
        <w:t>文件。</w:t>
      </w:r>
    </w:p>
    <w:p w14:paraId="3849053E">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4.售价：0元</w:t>
      </w:r>
    </w:p>
    <w:p w14:paraId="4DCEB3E5">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eastAsia="zh-CN"/>
        </w:rPr>
        <w:t>四、</w:t>
      </w:r>
      <w:r>
        <w:rPr>
          <w:rFonts w:hint="eastAsia" w:ascii="宋体" w:hAnsi="宋体" w:eastAsia="宋体" w:cs="宋体"/>
          <w:b/>
          <w:bCs/>
          <w:color w:val="auto"/>
          <w:sz w:val="24"/>
          <w:szCs w:val="24"/>
          <w:highlight w:val="none"/>
          <w:lang w:val="en-US" w:eastAsia="zh-CN"/>
        </w:rPr>
        <w:t>投标截止时间及地点</w:t>
      </w:r>
    </w:p>
    <w:p w14:paraId="6C662B91">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1.截止时间：</w:t>
      </w:r>
      <w:r>
        <w:rPr>
          <w:rFonts w:hint="eastAsia" w:ascii="宋体" w:hAnsi="宋体" w:eastAsia="宋体" w:cs="宋体"/>
          <w:color w:val="auto"/>
          <w:sz w:val="24"/>
          <w:szCs w:val="24"/>
          <w:highlight w:val="none"/>
          <w:lang w:eastAsia="zh-CN"/>
        </w:rPr>
        <w:t>2024年</w:t>
      </w:r>
      <w:r>
        <w:rPr>
          <w:rFonts w:hint="eastAsia"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月</w:t>
      </w:r>
      <w:r>
        <w:rPr>
          <w:rFonts w:hint="eastAsia" w:cs="宋体"/>
          <w:color w:val="auto"/>
          <w:sz w:val="24"/>
          <w:szCs w:val="24"/>
          <w:highlight w:val="none"/>
          <w:lang w:val="en-US" w:eastAsia="zh-CN"/>
        </w:rPr>
        <w:t>19</w:t>
      </w:r>
      <w:r>
        <w:rPr>
          <w:rFonts w:hint="eastAsia" w:ascii="宋体" w:hAnsi="宋体" w:eastAsia="宋体" w:cs="宋体"/>
          <w:color w:val="auto"/>
          <w:sz w:val="24"/>
          <w:szCs w:val="24"/>
          <w:highlight w:val="none"/>
          <w:lang w:eastAsia="zh-CN"/>
        </w:rPr>
        <w:t>日09：00</w:t>
      </w:r>
      <w:r>
        <w:rPr>
          <w:rFonts w:hint="eastAsia" w:ascii="宋体" w:hAnsi="宋体" w:eastAsia="宋体" w:cs="宋体"/>
          <w:color w:val="auto"/>
          <w:sz w:val="24"/>
          <w:szCs w:val="24"/>
          <w:highlight w:val="none"/>
          <w:lang w:eastAsia="zh-CN"/>
        </w:rPr>
        <w:t>（北京时间）；</w:t>
      </w:r>
    </w:p>
    <w:p w14:paraId="15126E82">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2.地点：博爱县公共资源交易中心二楼不见面</w:t>
      </w:r>
      <w:r>
        <w:rPr>
          <w:rFonts w:hint="eastAsia" w:ascii="宋体" w:hAnsi="宋体" w:eastAsia="宋体" w:cs="宋体"/>
          <w:color w:val="auto"/>
          <w:sz w:val="24"/>
          <w:szCs w:val="24"/>
          <w:highlight w:val="none"/>
          <w:lang w:eastAsia="zh-CN"/>
        </w:rPr>
        <w:t>开标</w:t>
      </w:r>
      <w:r>
        <w:rPr>
          <w:rFonts w:hint="eastAsia" w:cs="宋体"/>
          <w:color w:val="auto"/>
          <w:sz w:val="24"/>
          <w:szCs w:val="24"/>
          <w:highlight w:val="none"/>
          <w:lang w:val="en-US" w:eastAsia="zh-CN"/>
        </w:rPr>
        <w:t>二</w:t>
      </w:r>
      <w:r>
        <w:rPr>
          <w:rFonts w:hint="eastAsia" w:ascii="宋体" w:hAnsi="宋体" w:eastAsia="宋体" w:cs="宋体"/>
          <w:color w:val="auto"/>
          <w:sz w:val="24"/>
          <w:szCs w:val="24"/>
          <w:highlight w:val="none"/>
          <w:lang w:eastAsia="zh-CN"/>
        </w:rPr>
        <w:t>室。</w:t>
      </w:r>
    </w:p>
    <w:p w14:paraId="60E26284">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eastAsia="zh-CN"/>
        </w:rPr>
        <w:t>五、</w:t>
      </w:r>
      <w:r>
        <w:rPr>
          <w:rFonts w:hint="eastAsia" w:ascii="宋体" w:hAnsi="宋体" w:eastAsia="宋体" w:cs="宋体"/>
          <w:b/>
          <w:bCs/>
          <w:color w:val="auto"/>
          <w:sz w:val="24"/>
          <w:szCs w:val="24"/>
          <w:highlight w:val="none"/>
          <w:lang w:val="en-US" w:eastAsia="zh-CN"/>
        </w:rPr>
        <w:t>开标时间及地点</w:t>
      </w:r>
    </w:p>
    <w:p w14:paraId="4B78A604">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1.时间：</w:t>
      </w:r>
      <w:r>
        <w:rPr>
          <w:rFonts w:hint="eastAsia" w:ascii="宋体" w:hAnsi="宋体" w:eastAsia="宋体" w:cs="宋体"/>
          <w:color w:val="auto"/>
          <w:sz w:val="24"/>
          <w:szCs w:val="24"/>
          <w:highlight w:val="none"/>
          <w:lang w:eastAsia="zh-CN"/>
        </w:rPr>
        <w:t>2024年</w:t>
      </w:r>
      <w:r>
        <w:rPr>
          <w:rFonts w:hint="eastAsia"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月</w:t>
      </w:r>
      <w:r>
        <w:rPr>
          <w:rFonts w:hint="eastAsia" w:cs="宋体"/>
          <w:color w:val="auto"/>
          <w:sz w:val="24"/>
          <w:szCs w:val="24"/>
          <w:highlight w:val="none"/>
          <w:lang w:val="en-US" w:eastAsia="zh-CN"/>
        </w:rPr>
        <w:t>19</w:t>
      </w:r>
      <w:r>
        <w:rPr>
          <w:rFonts w:hint="eastAsia" w:ascii="宋体" w:hAnsi="宋体" w:eastAsia="宋体" w:cs="宋体"/>
          <w:color w:val="auto"/>
          <w:sz w:val="24"/>
          <w:szCs w:val="24"/>
          <w:highlight w:val="none"/>
          <w:lang w:eastAsia="zh-CN"/>
        </w:rPr>
        <w:t>日09：00</w:t>
      </w:r>
      <w:r>
        <w:rPr>
          <w:rFonts w:hint="eastAsia" w:ascii="宋体" w:hAnsi="宋体" w:eastAsia="宋体" w:cs="宋体"/>
          <w:color w:val="auto"/>
          <w:sz w:val="24"/>
          <w:szCs w:val="24"/>
          <w:highlight w:val="none"/>
          <w:lang w:eastAsia="zh-CN"/>
        </w:rPr>
        <w:t>（北京时间）；</w:t>
      </w:r>
    </w:p>
    <w:p w14:paraId="5F4F3C69">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2.地点：博爱县公共资源交易中心二楼不见面</w:t>
      </w:r>
      <w:r>
        <w:rPr>
          <w:rFonts w:hint="eastAsia" w:ascii="宋体" w:hAnsi="宋体" w:eastAsia="宋体" w:cs="宋体"/>
          <w:color w:val="auto"/>
          <w:sz w:val="24"/>
          <w:szCs w:val="24"/>
          <w:highlight w:val="none"/>
          <w:lang w:eastAsia="zh-CN"/>
        </w:rPr>
        <w:t>开标</w:t>
      </w:r>
      <w:r>
        <w:rPr>
          <w:rFonts w:hint="eastAsia" w:cs="宋体"/>
          <w:color w:val="auto"/>
          <w:sz w:val="24"/>
          <w:szCs w:val="24"/>
          <w:highlight w:val="none"/>
          <w:lang w:val="en-US" w:eastAsia="zh-CN"/>
        </w:rPr>
        <w:t>二</w:t>
      </w:r>
      <w:r>
        <w:rPr>
          <w:rFonts w:hint="eastAsia" w:ascii="宋体" w:hAnsi="宋体" w:eastAsia="宋体" w:cs="宋体"/>
          <w:color w:val="auto"/>
          <w:sz w:val="24"/>
          <w:szCs w:val="24"/>
          <w:highlight w:val="none"/>
          <w:lang w:eastAsia="zh-CN"/>
        </w:rPr>
        <w:t>室。</w:t>
      </w:r>
    </w:p>
    <w:p w14:paraId="636FD3E0">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六、发布公告的媒介及公告期限</w:t>
      </w:r>
    </w:p>
    <w:p w14:paraId="62C26DB8">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本次公告在《中国招标投标公共服务平台》、《河南省政府采购网》、《焦作市政府采购网》、《焦作市公共资源交易中心网》、《博爱县人民政府网》、《博爱县公共资源交易中心网》http://ggzy.boai.gov.cn/上发布。公告期限为</w:t>
      </w:r>
      <w:r>
        <w:rPr>
          <w:rFonts w:hint="eastAsia" w:ascii="宋体" w:hAnsi="宋体" w:eastAsia="宋体" w:cs="宋体"/>
          <w:color w:val="auto"/>
          <w:sz w:val="24"/>
          <w:szCs w:val="24"/>
          <w:highlight w:val="none"/>
          <w:lang w:val="en-US" w:eastAsia="zh-CN"/>
        </w:rPr>
        <w:t>五</w:t>
      </w:r>
      <w:r>
        <w:rPr>
          <w:rFonts w:hint="eastAsia" w:ascii="宋体" w:hAnsi="宋体" w:eastAsia="宋体" w:cs="宋体"/>
          <w:color w:val="auto"/>
          <w:sz w:val="24"/>
          <w:szCs w:val="24"/>
          <w:highlight w:val="none"/>
          <w:lang w:eastAsia="zh-CN"/>
        </w:rPr>
        <w:t>个工作日。</w:t>
      </w:r>
    </w:p>
    <w:p w14:paraId="30774B74">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七、其他补充事宜</w:t>
      </w:r>
    </w:p>
    <w:p w14:paraId="10766AEE">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并在开标截止时间前登录不见面开标大厅</w:t>
      </w:r>
    </w:p>
    <w:p w14:paraId="073D10E9">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（http://ggzy.jiaozuo.gov.cn/BidOpeningHall/bidhall/default/login）进行签到，按要求解密投标文件。因文件未及时上传导致投标失败的责任由投标人自行承担，具体要求详见招标文件。 平台统一技术服务电话：400-998-0000，服务 QQ：4008503300，服务时间：周一至周日</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lang w:eastAsia="zh-CN"/>
        </w:rPr>
        <w:t>8：00-17：30。</w:t>
      </w:r>
    </w:p>
    <w:p w14:paraId="11177AD2">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投标人无需到现场参加开标会议，无需到达现场提交原件资料。投标人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14:paraId="3212C55F">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八、凡对本次采购提出询问，请按以下方式联系</w:t>
      </w:r>
    </w:p>
    <w:p w14:paraId="55EE70D3">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1.采购人信息</w:t>
      </w:r>
    </w:p>
    <w:p w14:paraId="6C753AEC">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名 称：博爱县教育体育局 </w:t>
      </w:r>
    </w:p>
    <w:p w14:paraId="5C0CE70E">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地 址：博爱县玉祥路北 </w:t>
      </w:r>
    </w:p>
    <w:p w14:paraId="4F33452F">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联系人：</w:t>
      </w:r>
      <w:r>
        <w:rPr>
          <w:rFonts w:hint="eastAsia" w:ascii="宋体" w:hAnsi="宋体" w:eastAsia="宋体" w:cs="宋体"/>
          <w:color w:val="auto"/>
          <w:kern w:val="0"/>
          <w:sz w:val="24"/>
          <w:szCs w:val="24"/>
          <w:highlight w:val="none"/>
          <w:lang w:val="en-US" w:eastAsia="zh-CN"/>
        </w:rPr>
        <w:t>张</w:t>
      </w:r>
      <w:r>
        <w:rPr>
          <w:rFonts w:hint="eastAsia" w:ascii="宋体" w:hAnsi="宋体" w:eastAsia="宋体" w:cs="宋体"/>
          <w:color w:val="auto"/>
          <w:sz w:val="24"/>
          <w:szCs w:val="24"/>
          <w:highlight w:val="none"/>
          <w:lang w:val="en-US" w:eastAsia="zh-CN"/>
        </w:rPr>
        <w:t>小文</w:t>
      </w:r>
    </w:p>
    <w:p w14:paraId="7DCE45A2">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0"/>
          <w:sz w:val="24"/>
          <w:szCs w:val="24"/>
          <w:highlight w:val="none"/>
        </w:rPr>
        <w:t>电话：</w:t>
      </w:r>
      <w:r>
        <w:rPr>
          <w:rFonts w:hint="eastAsia" w:ascii="宋体" w:hAnsi="宋体" w:eastAsia="宋体" w:cs="宋体"/>
          <w:color w:val="auto"/>
          <w:kern w:val="0"/>
          <w:sz w:val="24"/>
          <w:szCs w:val="24"/>
          <w:highlight w:val="none"/>
          <w:lang w:val="en-US" w:eastAsia="zh-CN"/>
        </w:rPr>
        <w:t>0391-8663926</w:t>
      </w:r>
    </w:p>
    <w:p w14:paraId="28197AF2">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2.采购代理机构信息</w:t>
      </w:r>
    </w:p>
    <w:p w14:paraId="01E582C7">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名 称：智博国际工程咨询有限公司</w:t>
      </w:r>
    </w:p>
    <w:p w14:paraId="7A99D94E">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地 址：郑州市西三环与北三环交叉口国家大学科技园（东区）18号楼D座2层</w:t>
      </w:r>
    </w:p>
    <w:p w14:paraId="161B4A86">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联系人：黄天鹏、刘莎、刘勇琪</w:t>
      </w:r>
    </w:p>
    <w:p w14:paraId="310710E1">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联系方式：0371-68638111</w:t>
      </w:r>
    </w:p>
    <w:p w14:paraId="0B7E95BB">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3.项目联系方式</w:t>
      </w:r>
    </w:p>
    <w:p w14:paraId="0CBE3C5A">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项目联系人：黄天鹏、刘莎、刘勇琪</w:t>
      </w:r>
    </w:p>
    <w:p w14:paraId="547FBAE8">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联系方式：0371-68638111</w:t>
      </w:r>
    </w:p>
    <w:p w14:paraId="13A70FB4">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31EB9FF2">
      <w:pPr>
        <w:keepNext w:val="0"/>
        <w:keepLines w:val="0"/>
        <w:pageBreakBefore w:val="0"/>
        <w:widowControl/>
        <w:kinsoku/>
        <w:wordWrap/>
        <w:overflowPunct/>
        <w:topLinePunct w:val="0"/>
        <w:autoSpaceDE/>
        <w:autoSpaceDN/>
        <w:bidi w:val="0"/>
        <w:spacing w:line="440" w:lineRule="exact"/>
        <w:ind w:firstLine="420"/>
        <w:jc w:val="right"/>
        <w:textAlignment w:val="auto"/>
        <w:rPr>
          <w:rFonts w:hint="eastAsia" w:ascii="宋体" w:hAnsi="宋体" w:eastAsia="宋体" w:cs="宋体"/>
          <w:color w:val="auto"/>
          <w:sz w:val="24"/>
          <w:szCs w:val="24"/>
          <w:highlight w:val="none"/>
          <w:shd w:val="clear" w:color="auto" w:fill="FFFFFF"/>
        </w:rPr>
      </w:pPr>
      <w:r>
        <w:rPr>
          <w:rFonts w:hint="eastAsia" w:ascii="宋体" w:hAnsi="宋体" w:eastAsia="宋体" w:cs="宋体"/>
          <w:color w:val="auto"/>
          <w:sz w:val="24"/>
          <w:szCs w:val="24"/>
          <w:highlight w:val="none"/>
        </w:rPr>
        <w:t>采购人：</w:t>
      </w:r>
      <w:r>
        <w:rPr>
          <w:rFonts w:hint="eastAsia" w:ascii="宋体" w:hAnsi="宋体" w:eastAsia="宋体" w:cs="宋体"/>
          <w:color w:val="auto"/>
          <w:kern w:val="0"/>
          <w:sz w:val="24"/>
          <w:szCs w:val="24"/>
          <w:highlight w:val="none"/>
        </w:rPr>
        <w:t>博爱县教育体育局</w:t>
      </w:r>
    </w:p>
    <w:p w14:paraId="79C27D15">
      <w:pPr>
        <w:keepNext w:val="0"/>
        <w:keepLines w:val="0"/>
        <w:pageBreakBefore w:val="0"/>
        <w:widowControl/>
        <w:kinsoku/>
        <w:wordWrap/>
        <w:overflowPunct/>
        <w:topLinePunct w:val="0"/>
        <w:autoSpaceDE/>
        <w:autoSpaceDN/>
        <w:bidi w:val="0"/>
        <w:spacing w:line="440" w:lineRule="exact"/>
        <w:ind w:firstLine="2880" w:firstLineChars="1200"/>
        <w:jc w:val="right"/>
        <w:textAlignment w:val="auto"/>
        <w:rPr>
          <w:rFonts w:hint="eastAsia" w:ascii="宋体" w:hAnsi="宋体" w:eastAsia="宋体" w:cs="宋体"/>
          <w:color w:val="auto"/>
          <w:sz w:val="24"/>
          <w:szCs w:val="24"/>
          <w:highlight w:val="none"/>
          <w:shd w:val="clear" w:color="auto" w:fill="FFFFFF"/>
        </w:rPr>
      </w:pPr>
      <w:r>
        <w:rPr>
          <w:rFonts w:hint="eastAsia" w:ascii="宋体" w:hAnsi="宋体" w:eastAsia="宋体" w:cs="宋体"/>
          <w:color w:val="auto"/>
          <w:sz w:val="24"/>
          <w:szCs w:val="24"/>
          <w:highlight w:val="none"/>
          <w:shd w:val="clear" w:color="auto" w:fill="FFFFFF"/>
        </w:rPr>
        <w:t>采购代理机构：智博国际工程咨询有限公司</w:t>
      </w:r>
    </w:p>
    <w:p w14:paraId="27BFAFA5">
      <w:pPr>
        <w:keepNext w:val="0"/>
        <w:keepLines w:val="0"/>
        <w:pageBreakBefore w:val="0"/>
        <w:widowControl/>
        <w:kinsoku/>
        <w:wordWrap/>
        <w:overflowPunct/>
        <w:topLinePunct w:val="0"/>
        <w:autoSpaceDE/>
        <w:autoSpaceDN/>
        <w:bidi w:val="0"/>
        <w:spacing w:line="440" w:lineRule="exact"/>
        <w:ind w:firstLine="420"/>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发布时</w:t>
      </w:r>
      <w:r>
        <w:rPr>
          <w:rFonts w:hint="eastAsia" w:ascii="宋体" w:hAnsi="宋体" w:eastAsia="宋体" w:cs="宋体"/>
          <w:color w:val="auto"/>
          <w:sz w:val="24"/>
          <w:szCs w:val="24"/>
          <w:highlight w:val="none"/>
        </w:rPr>
        <w:t>间：</w:t>
      </w:r>
      <w:r>
        <w:rPr>
          <w:rFonts w:hint="eastAsia" w:ascii="宋体" w:hAnsi="宋体" w:cs="宋体"/>
          <w:color w:val="auto"/>
          <w:sz w:val="24"/>
          <w:szCs w:val="24"/>
          <w:highlight w:val="none"/>
          <w:lang w:eastAsia="zh-CN"/>
        </w:rPr>
        <w:t>2024年</w:t>
      </w:r>
      <w:r>
        <w:rPr>
          <w:rFonts w:hint="eastAsia" w:ascii="宋体" w:hAnsi="宋体" w:cs="宋体"/>
          <w:color w:val="auto"/>
          <w:sz w:val="24"/>
          <w:szCs w:val="24"/>
          <w:highlight w:val="none"/>
          <w:lang w:val="en-US" w:eastAsia="zh-CN"/>
        </w:rPr>
        <w:t>08</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26</w:t>
      </w:r>
      <w:r>
        <w:rPr>
          <w:rFonts w:hint="eastAsia" w:ascii="宋体" w:hAnsi="宋体" w:eastAsia="宋体" w:cs="宋体"/>
          <w:color w:val="auto"/>
          <w:sz w:val="24"/>
          <w:szCs w:val="24"/>
          <w:highlight w:val="none"/>
        </w:rPr>
        <w:t>日</w:t>
      </w:r>
    </w:p>
    <w:p w14:paraId="53EEDE10">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p>
    <w:p w14:paraId="613CBA3A">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p>
    <w:p w14:paraId="60CCEBDE">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p>
    <w:p w14:paraId="2F3FE367">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p>
    <w:p w14:paraId="7AA16CBC">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p>
    <w:p w14:paraId="4A4EBC19">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p>
    <w:p w14:paraId="60467AFA">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p>
    <w:p w14:paraId="77DFC7D4">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p>
    <w:p w14:paraId="4B7D665D">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p>
    <w:p w14:paraId="38AFBE83">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p>
    <w:p w14:paraId="575CACC0">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p>
    <w:p w14:paraId="62024EAA">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p>
    <w:p w14:paraId="23F5A7FE">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p>
    <w:p w14:paraId="52C9F175">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p>
    <w:p w14:paraId="58DE7700">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p>
    <w:p w14:paraId="0B32077F">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p>
    <w:p w14:paraId="7DD66D6A">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p>
    <w:p w14:paraId="2C6F5F4D">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p>
    <w:p w14:paraId="30943BB0">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p>
    <w:p w14:paraId="20941E16">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p>
    <w:p w14:paraId="5678B9E0">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p>
    <w:p w14:paraId="02DAEC16">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p>
    <w:p w14:paraId="52C484F4">
      <w:pPr>
        <w:jc w:val="both"/>
        <w:rPr>
          <w:rFonts w:hint="eastAsia" w:ascii="宋体" w:hAnsi="宋体" w:cs="宋体"/>
          <w:b/>
          <w:bCs/>
          <w:color w:val="auto"/>
          <w:sz w:val="28"/>
          <w:szCs w:val="36"/>
          <w:highlight w:val="none"/>
          <w:lang w:eastAsia="zh-CN"/>
        </w:rPr>
      </w:pPr>
    </w:p>
    <w:p w14:paraId="6897A37C">
      <w:pPr>
        <w:pStyle w:val="33"/>
        <w:rPr>
          <w:rFonts w:hint="eastAsia" w:ascii="宋体" w:hAnsi="宋体" w:cs="宋体"/>
          <w:b/>
          <w:bCs/>
          <w:color w:val="auto"/>
          <w:sz w:val="28"/>
          <w:szCs w:val="36"/>
          <w:highlight w:val="none"/>
          <w:lang w:eastAsia="zh-CN"/>
        </w:rPr>
      </w:pPr>
    </w:p>
    <w:p w14:paraId="1657AD13">
      <w:pPr>
        <w:pStyle w:val="33"/>
        <w:rPr>
          <w:rFonts w:hint="eastAsia" w:ascii="宋体" w:hAnsi="宋体" w:cs="宋体"/>
          <w:b/>
          <w:bCs/>
          <w:color w:val="auto"/>
          <w:sz w:val="28"/>
          <w:szCs w:val="36"/>
          <w:highlight w:val="none"/>
          <w:lang w:eastAsia="zh-CN"/>
        </w:rPr>
      </w:pPr>
    </w:p>
    <w:p w14:paraId="44EDC291">
      <w:pPr>
        <w:rPr>
          <w:rFonts w:hint="eastAsia" w:ascii="宋体" w:hAnsi="宋体" w:cs="宋体"/>
          <w:b/>
          <w:bCs/>
          <w:color w:val="auto"/>
          <w:sz w:val="28"/>
          <w:szCs w:val="36"/>
          <w:highlight w:val="none"/>
          <w:lang w:eastAsia="zh-CN"/>
        </w:rPr>
      </w:pPr>
    </w:p>
    <w:p w14:paraId="4DDA833C">
      <w:pPr>
        <w:autoSpaceDE w:val="0"/>
        <w:autoSpaceDN w:val="0"/>
        <w:adjustRightInd w:val="0"/>
        <w:spacing w:line="360" w:lineRule="auto"/>
        <w:jc w:val="center"/>
        <w:outlineLvl w:val="0"/>
        <w:rPr>
          <w:rFonts w:ascii="宋体" w:hAnsi="宋体" w:cs="宋体"/>
          <w:b/>
          <w:color w:val="auto"/>
          <w:sz w:val="28"/>
          <w:szCs w:val="28"/>
          <w:highlight w:val="none"/>
        </w:rPr>
      </w:pPr>
      <w:bookmarkStart w:id="4" w:name="_Toc17008"/>
      <w:r>
        <w:rPr>
          <w:rFonts w:hint="eastAsia" w:ascii="宋体" w:hAnsi="宋体" w:cs="宋体"/>
          <w:b/>
          <w:color w:val="auto"/>
          <w:sz w:val="28"/>
          <w:szCs w:val="28"/>
          <w:highlight w:val="none"/>
        </w:rPr>
        <w:t>第二章  供应商须知</w:t>
      </w:r>
      <w:bookmarkEnd w:id="4"/>
    </w:p>
    <w:bookmarkEnd w:id="0"/>
    <w:p w14:paraId="44069086">
      <w:pPr>
        <w:pStyle w:val="24"/>
        <w:spacing w:before="0" w:after="0" w:line="360" w:lineRule="auto"/>
        <w:rPr>
          <w:rFonts w:ascii="宋体" w:hAnsi="宋体" w:eastAsia="宋体" w:cs="宋体"/>
          <w:color w:val="auto"/>
          <w:sz w:val="28"/>
          <w:szCs w:val="28"/>
          <w:highlight w:val="none"/>
        </w:rPr>
      </w:pPr>
      <w:bookmarkStart w:id="5" w:name="_Toc19003"/>
      <w:bookmarkStart w:id="6" w:name="_Toc7779"/>
      <w:bookmarkStart w:id="7" w:name="_Toc403122490"/>
      <w:bookmarkStart w:id="8" w:name="_Toc426369478"/>
      <w:bookmarkStart w:id="9" w:name="_Toc9161"/>
      <w:bookmarkStart w:id="10" w:name="_Toc32497"/>
      <w:bookmarkStart w:id="11" w:name="_Toc14655"/>
      <w:r>
        <w:rPr>
          <w:rFonts w:hint="eastAsia" w:ascii="宋体" w:hAnsi="宋体" w:eastAsia="宋体" w:cs="宋体"/>
          <w:color w:val="auto"/>
          <w:sz w:val="28"/>
          <w:szCs w:val="28"/>
          <w:highlight w:val="none"/>
        </w:rPr>
        <w:t>供应商须知前附表</w:t>
      </w:r>
      <w:bookmarkEnd w:id="5"/>
      <w:bookmarkEnd w:id="6"/>
      <w:bookmarkEnd w:id="7"/>
      <w:bookmarkEnd w:id="8"/>
      <w:bookmarkEnd w:id="9"/>
      <w:bookmarkEnd w:id="10"/>
      <w:bookmarkEnd w:id="11"/>
    </w:p>
    <w:tbl>
      <w:tblPr>
        <w:tblStyle w:val="28"/>
        <w:tblW w:w="9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0"/>
        <w:gridCol w:w="1927"/>
        <w:gridCol w:w="6445"/>
      </w:tblGrid>
      <w:tr w14:paraId="24E0E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990" w:type="dxa"/>
            <w:vAlign w:val="center"/>
          </w:tcPr>
          <w:p w14:paraId="6DA3CDA6">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条款号</w:t>
            </w:r>
          </w:p>
        </w:tc>
        <w:tc>
          <w:tcPr>
            <w:tcW w:w="1927" w:type="dxa"/>
            <w:vAlign w:val="center"/>
          </w:tcPr>
          <w:p w14:paraId="2B7B8DD7">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条款名称</w:t>
            </w:r>
          </w:p>
        </w:tc>
        <w:tc>
          <w:tcPr>
            <w:tcW w:w="6445" w:type="dxa"/>
            <w:vAlign w:val="center"/>
          </w:tcPr>
          <w:p w14:paraId="1EB40623">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编列内容</w:t>
            </w:r>
          </w:p>
        </w:tc>
      </w:tr>
      <w:tr w14:paraId="5EAA4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0D933D11">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w:t>
            </w:r>
          </w:p>
        </w:tc>
        <w:tc>
          <w:tcPr>
            <w:tcW w:w="1927" w:type="dxa"/>
            <w:vAlign w:val="center"/>
          </w:tcPr>
          <w:p w14:paraId="55D8577A">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采购人</w:t>
            </w:r>
          </w:p>
        </w:tc>
        <w:tc>
          <w:tcPr>
            <w:tcW w:w="6445" w:type="dxa"/>
            <w:vAlign w:val="center"/>
          </w:tcPr>
          <w:p w14:paraId="66D90A19">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 购 人：博爱县教育体育局</w:t>
            </w:r>
          </w:p>
          <w:p w14:paraId="05121517">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地    址：博爱县玉祥路北</w:t>
            </w:r>
          </w:p>
          <w:p w14:paraId="39EF9F22">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联 系 人：张小文</w:t>
            </w:r>
          </w:p>
          <w:p w14:paraId="61A30E10">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bidi="ar-SA"/>
              </w:rPr>
              <w:t>电    话：</w:t>
            </w:r>
            <w:r>
              <w:rPr>
                <w:rFonts w:hint="eastAsia" w:ascii="宋体" w:hAnsi="宋体" w:eastAsia="宋体" w:cs="宋体"/>
                <w:color w:val="auto"/>
                <w:kern w:val="0"/>
                <w:sz w:val="21"/>
                <w:szCs w:val="21"/>
                <w:highlight w:val="none"/>
                <w:lang w:val="en-US" w:eastAsia="zh-CN"/>
              </w:rPr>
              <w:t>0391-8663926</w:t>
            </w:r>
          </w:p>
        </w:tc>
      </w:tr>
      <w:tr w14:paraId="7A76F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7813AAB2">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w:t>
            </w:r>
          </w:p>
        </w:tc>
        <w:tc>
          <w:tcPr>
            <w:tcW w:w="1927" w:type="dxa"/>
            <w:vAlign w:val="center"/>
          </w:tcPr>
          <w:p w14:paraId="495BB064">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采购代理机构</w:t>
            </w:r>
          </w:p>
        </w:tc>
        <w:tc>
          <w:tcPr>
            <w:tcW w:w="6445" w:type="dxa"/>
            <w:vAlign w:val="center"/>
          </w:tcPr>
          <w:p w14:paraId="40B4D9E1">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采购代理机构：智博国际工程咨询有限公司</w:t>
            </w:r>
          </w:p>
          <w:p w14:paraId="5708A8A2">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址：郑州市西三环与北三环交叉口国家大学科技园（东区）18号楼D座2层</w:t>
            </w:r>
          </w:p>
          <w:p w14:paraId="0DC76BC0">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 系 人：黄天鹏、刘莎、刘勇琪</w:t>
            </w:r>
          </w:p>
          <w:p w14:paraId="01A276D6">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    话：0371-68638111</w:t>
            </w:r>
          </w:p>
        </w:tc>
      </w:tr>
      <w:tr w14:paraId="3FE1E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vAlign w:val="center"/>
          </w:tcPr>
          <w:p w14:paraId="4FBE163B">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w:t>
            </w:r>
          </w:p>
        </w:tc>
        <w:tc>
          <w:tcPr>
            <w:tcW w:w="1927" w:type="dxa"/>
            <w:vAlign w:val="center"/>
          </w:tcPr>
          <w:p w14:paraId="69AF070E">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项目名称</w:t>
            </w:r>
          </w:p>
        </w:tc>
        <w:tc>
          <w:tcPr>
            <w:tcW w:w="6445" w:type="dxa"/>
            <w:vAlign w:val="center"/>
          </w:tcPr>
          <w:p w14:paraId="671856AA">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博爱县教育体育局焦作新材料职业学院图书、教学设备、实验设备等采购项目</w:t>
            </w:r>
            <w:r>
              <w:rPr>
                <w:rFonts w:hint="eastAsia" w:ascii="宋体" w:hAnsi="宋体" w:cs="宋体"/>
                <w:color w:val="auto"/>
                <w:sz w:val="21"/>
                <w:szCs w:val="21"/>
                <w:highlight w:val="none"/>
                <w:lang w:val="en-US" w:eastAsia="zh-CN"/>
              </w:rPr>
              <w:t>二标段</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二次</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项目</w:t>
            </w:r>
            <w:r>
              <w:rPr>
                <w:rFonts w:hint="eastAsia" w:ascii="宋体" w:hAnsi="宋体" w:eastAsia="宋体" w:cs="宋体"/>
                <w:color w:val="auto"/>
                <w:sz w:val="21"/>
                <w:szCs w:val="21"/>
                <w:highlight w:val="none"/>
                <w:lang w:eastAsia="zh-CN"/>
              </w:rPr>
              <w:t>（</w:t>
            </w:r>
            <w:r>
              <w:rPr>
                <w:rFonts w:hint="eastAsia" w:ascii="宋体" w:hAnsi="宋体" w:cs="宋体"/>
                <w:color w:val="auto"/>
                <w:sz w:val="21"/>
                <w:szCs w:val="21"/>
                <w:highlight w:val="none"/>
                <w:lang w:val="en-US" w:eastAsia="zh-CN"/>
              </w:rPr>
              <w:t>化工类</w:t>
            </w:r>
            <w:r>
              <w:rPr>
                <w:rFonts w:hint="eastAsia" w:ascii="宋体" w:hAnsi="宋体" w:eastAsia="宋体" w:cs="宋体"/>
                <w:color w:val="auto"/>
                <w:sz w:val="21"/>
                <w:szCs w:val="21"/>
                <w:highlight w:val="none"/>
                <w:lang w:eastAsia="zh-CN"/>
              </w:rPr>
              <w:t>）</w:t>
            </w:r>
          </w:p>
        </w:tc>
      </w:tr>
      <w:tr w14:paraId="52008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vAlign w:val="center"/>
          </w:tcPr>
          <w:p w14:paraId="55CF89C5">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1.1.5</w:t>
            </w:r>
          </w:p>
        </w:tc>
        <w:tc>
          <w:tcPr>
            <w:tcW w:w="1927" w:type="dxa"/>
            <w:vAlign w:val="center"/>
          </w:tcPr>
          <w:p w14:paraId="4BBBBDA8">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bCs/>
                <w:iCs/>
                <w:color w:val="auto"/>
                <w:sz w:val="21"/>
                <w:szCs w:val="21"/>
                <w:highlight w:val="none"/>
              </w:rPr>
              <w:t>项目地点</w:t>
            </w:r>
          </w:p>
        </w:tc>
        <w:tc>
          <w:tcPr>
            <w:tcW w:w="6445" w:type="dxa"/>
            <w:vAlign w:val="center"/>
          </w:tcPr>
          <w:p w14:paraId="27CDECC3">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采购人指定地点</w:t>
            </w:r>
          </w:p>
        </w:tc>
      </w:tr>
      <w:tr w14:paraId="402EF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30BE24BA">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1.2.1</w:t>
            </w:r>
          </w:p>
        </w:tc>
        <w:tc>
          <w:tcPr>
            <w:tcW w:w="1927" w:type="dxa"/>
            <w:vAlign w:val="center"/>
          </w:tcPr>
          <w:p w14:paraId="7F04E3F6">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资金来源</w:t>
            </w:r>
          </w:p>
        </w:tc>
        <w:tc>
          <w:tcPr>
            <w:tcW w:w="6445" w:type="dxa"/>
            <w:vAlign w:val="center"/>
          </w:tcPr>
          <w:p w14:paraId="22B5DF2D">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财政资金</w:t>
            </w:r>
          </w:p>
        </w:tc>
      </w:tr>
      <w:tr w14:paraId="1B4E7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1DE76224">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1.2.2</w:t>
            </w:r>
          </w:p>
        </w:tc>
        <w:tc>
          <w:tcPr>
            <w:tcW w:w="1927" w:type="dxa"/>
            <w:vAlign w:val="center"/>
          </w:tcPr>
          <w:p w14:paraId="45265D5F">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资金落实情况</w:t>
            </w:r>
          </w:p>
        </w:tc>
        <w:tc>
          <w:tcPr>
            <w:tcW w:w="6445" w:type="dxa"/>
            <w:vAlign w:val="center"/>
          </w:tcPr>
          <w:p w14:paraId="65BE1E6A">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已落实</w:t>
            </w:r>
          </w:p>
        </w:tc>
      </w:tr>
      <w:tr w14:paraId="13F51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990" w:type="dxa"/>
            <w:vAlign w:val="center"/>
          </w:tcPr>
          <w:p w14:paraId="57BB6941">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1.3.1</w:t>
            </w:r>
          </w:p>
        </w:tc>
        <w:tc>
          <w:tcPr>
            <w:tcW w:w="1927" w:type="dxa"/>
            <w:vAlign w:val="center"/>
          </w:tcPr>
          <w:p w14:paraId="3E391540">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采购内容</w:t>
            </w:r>
          </w:p>
        </w:tc>
        <w:tc>
          <w:tcPr>
            <w:tcW w:w="6445" w:type="dxa"/>
          </w:tcPr>
          <w:p w14:paraId="4CD65B84">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eastAsia="zh-CN"/>
              </w:rPr>
              <w:t>本项目主要采购</w:t>
            </w:r>
            <w:r>
              <w:rPr>
                <w:rFonts w:hint="eastAsia" w:hAnsi="宋体" w:cs="宋体"/>
                <w:color w:val="auto"/>
                <w:kern w:val="0"/>
                <w:sz w:val="21"/>
                <w:szCs w:val="21"/>
                <w:highlight w:val="none"/>
                <w:lang w:eastAsia="zh-CN"/>
              </w:rPr>
              <w:t>机房类实训室设备、机械类实训室设备、化工类实训室设备</w:t>
            </w:r>
            <w:r>
              <w:rPr>
                <w:rFonts w:hint="eastAsia" w:ascii="宋体" w:hAnsi="宋体" w:eastAsia="宋体" w:cs="宋体"/>
                <w:color w:val="auto"/>
                <w:kern w:val="0"/>
                <w:sz w:val="21"/>
                <w:szCs w:val="21"/>
                <w:highlight w:val="none"/>
                <w:lang w:eastAsia="zh-CN"/>
              </w:rPr>
              <w:t>等，</w:t>
            </w:r>
            <w:r>
              <w:rPr>
                <w:rFonts w:hint="eastAsia" w:hAnsi="宋体" w:cs="宋体"/>
                <w:color w:val="auto"/>
                <w:kern w:val="0"/>
                <w:sz w:val="21"/>
                <w:szCs w:val="21"/>
                <w:highlight w:val="none"/>
                <w:lang w:val="en-US" w:eastAsia="zh-CN"/>
              </w:rPr>
              <w:t>本包段</w:t>
            </w:r>
            <w:r>
              <w:rPr>
                <w:rFonts w:hint="eastAsia" w:ascii="宋体" w:hAnsi="宋体" w:eastAsia="宋体" w:cs="宋体"/>
                <w:color w:val="auto"/>
                <w:kern w:val="0"/>
                <w:sz w:val="21"/>
                <w:szCs w:val="21"/>
                <w:highlight w:val="none"/>
                <w:lang w:val="en-US" w:eastAsia="zh-CN"/>
              </w:rPr>
              <w:t>采购内容为</w:t>
            </w:r>
            <w:r>
              <w:rPr>
                <w:rFonts w:hint="eastAsia" w:hAnsi="宋体" w:cs="宋体"/>
                <w:color w:val="auto"/>
                <w:kern w:val="0"/>
                <w:sz w:val="21"/>
                <w:szCs w:val="21"/>
                <w:highlight w:val="none"/>
                <w:lang w:val="en-US" w:eastAsia="zh-CN"/>
              </w:rPr>
              <w:t>化工类实训室设备</w:t>
            </w:r>
            <w:r>
              <w:rPr>
                <w:rFonts w:hint="eastAsia" w:ascii="宋体" w:hAnsi="宋体" w:eastAsia="宋体" w:cs="宋体"/>
                <w:color w:val="auto"/>
                <w:kern w:val="0"/>
                <w:sz w:val="21"/>
                <w:szCs w:val="21"/>
                <w:highlight w:val="none"/>
                <w:lang w:val="en-US" w:eastAsia="zh-CN"/>
              </w:rPr>
              <w:t>等</w:t>
            </w:r>
            <w:r>
              <w:rPr>
                <w:rFonts w:hint="eastAsia" w:ascii="宋体" w:hAnsi="宋体" w:eastAsia="宋体" w:cs="宋体"/>
                <w:color w:val="auto"/>
                <w:kern w:val="0"/>
                <w:sz w:val="21"/>
                <w:szCs w:val="21"/>
                <w:highlight w:val="none"/>
                <w:lang w:eastAsia="zh-CN"/>
              </w:rPr>
              <w:t>（详见招标文件第五章“采购内容及技术要求”）</w:t>
            </w:r>
            <w:r>
              <w:rPr>
                <w:rFonts w:hint="eastAsia" w:ascii="宋体" w:hAnsi="宋体" w:eastAsia="宋体" w:cs="宋体"/>
                <w:color w:val="auto"/>
                <w:kern w:val="0"/>
                <w:sz w:val="21"/>
                <w:szCs w:val="21"/>
                <w:highlight w:val="none"/>
              </w:rPr>
              <w:t>；</w:t>
            </w:r>
          </w:p>
        </w:tc>
      </w:tr>
      <w:tr w14:paraId="3866D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52553E7E">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1.3.2</w:t>
            </w:r>
          </w:p>
        </w:tc>
        <w:tc>
          <w:tcPr>
            <w:tcW w:w="1927" w:type="dxa"/>
            <w:vAlign w:val="center"/>
          </w:tcPr>
          <w:p w14:paraId="0AD049F7">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合同履行期限</w:t>
            </w:r>
          </w:p>
          <w:p w14:paraId="437F2FF2">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（供货及安装期）</w:t>
            </w:r>
          </w:p>
        </w:tc>
        <w:tc>
          <w:tcPr>
            <w:tcW w:w="6445" w:type="dxa"/>
            <w:vAlign w:val="center"/>
          </w:tcPr>
          <w:p w14:paraId="372C2F00">
            <w:pPr>
              <w:pStyle w:val="47"/>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SA"/>
              </w:rPr>
              <w:t>30日历天；</w:t>
            </w:r>
          </w:p>
        </w:tc>
      </w:tr>
      <w:tr w14:paraId="13571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52C743F9">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1.3.3</w:t>
            </w:r>
          </w:p>
        </w:tc>
        <w:tc>
          <w:tcPr>
            <w:tcW w:w="1927" w:type="dxa"/>
            <w:vAlign w:val="center"/>
          </w:tcPr>
          <w:p w14:paraId="011BE7A8">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质量标准</w:t>
            </w:r>
          </w:p>
        </w:tc>
        <w:tc>
          <w:tcPr>
            <w:tcW w:w="6445" w:type="dxa"/>
            <w:vAlign w:val="center"/>
          </w:tcPr>
          <w:p w14:paraId="4A24AAE6">
            <w:pPr>
              <w:keepNext w:val="0"/>
              <w:keepLines w:val="0"/>
              <w:pageBreakBefore w:val="0"/>
              <w:kinsoku/>
              <w:wordWrap/>
              <w:overflowPunct/>
              <w:topLinePunct w:val="0"/>
              <w:bidi w:val="0"/>
              <w:spacing w:line="440" w:lineRule="exac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合格，符合国家、行业规范标准</w:t>
            </w:r>
            <w:r>
              <w:rPr>
                <w:rFonts w:hint="eastAsia" w:ascii="宋体" w:hAnsi="宋体" w:cs="宋体"/>
                <w:color w:val="auto"/>
                <w:kern w:val="0"/>
                <w:sz w:val="21"/>
                <w:szCs w:val="21"/>
                <w:highlight w:val="none"/>
                <w:lang w:eastAsia="zh-CN"/>
              </w:rPr>
              <w:t>；</w:t>
            </w:r>
          </w:p>
        </w:tc>
      </w:tr>
      <w:tr w14:paraId="2D2A6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09E80808">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1.3.4</w:t>
            </w:r>
          </w:p>
        </w:tc>
        <w:tc>
          <w:tcPr>
            <w:tcW w:w="1927" w:type="dxa"/>
            <w:vAlign w:val="center"/>
          </w:tcPr>
          <w:p w14:paraId="26404C85">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质保期</w:t>
            </w:r>
          </w:p>
        </w:tc>
        <w:tc>
          <w:tcPr>
            <w:tcW w:w="6445" w:type="dxa"/>
            <w:vAlign w:val="center"/>
          </w:tcPr>
          <w:p w14:paraId="6685B504">
            <w:pPr>
              <w:keepNext w:val="0"/>
              <w:keepLines w:val="0"/>
              <w:pageBreakBefore w:val="0"/>
              <w:kinsoku/>
              <w:wordWrap/>
              <w:overflowPunct/>
              <w:topLinePunct w:val="0"/>
              <w:bidi w:val="0"/>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三年</w:t>
            </w:r>
            <w:r>
              <w:rPr>
                <w:rFonts w:hint="eastAsia" w:ascii="宋体" w:hAnsi="宋体" w:cs="宋体"/>
                <w:color w:val="auto"/>
                <w:kern w:val="0"/>
                <w:sz w:val="21"/>
                <w:szCs w:val="21"/>
                <w:highlight w:val="none"/>
                <w:lang w:val="en-US" w:eastAsia="zh-CN"/>
              </w:rPr>
              <w:t>；</w:t>
            </w:r>
          </w:p>
        </w:tc>
      </w:tr>
      <w:tr w14:paraId="6D455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vAlign w:val="center"/>
          </w:tcPr>
          <w:p w14:paraId="5A9740F9">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1.4.1</w:t>
            </w:r>
          </w:p>
        </w:tc>
        <w:tc>
          <w:tcPr>
            <w:tcW w:w="1927" w:type="dxa"/>
            <w:vAlign w:val="center"/>
          </w:tcPr>
          <w:p w14:paraId="3EFAE662">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供应商资质条件</w:t>
            </w:r>
          </w:p>
        </w:tc>
        <w:tc>
          <w:tcPr>
            <w:tcW w:w="6445" w:type="dxa"/>
            <w:vAlign w:val="center"/>
          </w:tcPr>
          <w:p w14:paraId="5E07A2CB">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1.符合《中华人民共和国政府采购法》第二十二条之规定；</w:t>
            </w:r>
          </w:p>
          <w:p w14:paraId="6C44B9E2">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2.落实政府采购政策需满足的资格要求：促进中小企业和监狱企业发展扶持政策、政府强制采购节能产品、节能产品及环境标志产品优先采购。</w:t>
            </w:r>
          </w:p>
          <w:p w14:paraId="50425EAA">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3.本项目的特定资格要求：</w:t>
            </w:r>
          </w:p>
          <w:p w14:paraId="4563013A">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3.1供应商须具有有效的营业执照，并具有实施完成本项目的经营实力和完善的售后服务体系；</w:t>
            </w:r>
          </w:p>
          <w:p w14:paraId="02A82B1A">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w:t>
            </w:r>
          </w:p>
          <w:p w14:paraId="07A8CC6A">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3.3本项目不接受联合体投标；</w:t>
            </w:r>
          </w:p>
          <w:p w14:paraId="7AB736D7">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bidi="ar-SA"/>
              </w:rPr>
              <w:t>3.4资格审查方式：资格后审。</w:t>
            </w:r>
          </w:p>
        </w:tc>
      </w:tr>
      <w:tr w14:paraId="22088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2B8AE8F5">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1.4.2</w:t>
            </w:r>
          </w:p>
        </w:tc>
        <w:tc>
          <w:tcPr>
            <w:tcW w:w="1927" w:type="dxa"/>
            <w:vAlign w:val="center"/>
          </w:tcPr>
          <w:p w14:paraId="1B972940">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是否接受联合体</w:t>
            </w:r>
          </w:p>
        </w:tc>
        <w:tc>
          <w:tcPr>
            <w:tcW w:w="6445" w:type="dxa"/>
            <w:vAlign w:val="center"/>
          </w:tcPr>
          <w:p w14:paraId="6E52B00A">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不接受</w:t>
            </w:r>
          </w:p>
        </w:tc>
      </w:tr>
      <w:tr w14:paraId="6780E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990" w:type="dxa"/>
            <w:vAlign w:val="center"/>
          </w:tcPr>
          <w:p w14:paraId="0E114AA1">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1.10.1</w:t>
            </w:r>
          </w:p>
        </w:tc>
        <w:tc>
          <w:tcPr>
            <w:tcW w:w="1927" w:type="dxa"/>
            <w:vAlign w:val="center"/>
          </w:tcPr>
          <w:p w14:paraId="2AAAF4AF">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投标预备会</w:t>
            </w:r>
          </w:p>
        </w:tc>
        <w:tc>
          <w:tcPr>
            <w:tcW w:w="6445" w:type="dxa"/>
            <w:vAlign w:val="center"/>
          </w:tcPr>
          <w:p w14:paraId="328D8E6B">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不召开</w:t>
            </w:r>
          </w:p>
        </w:tc>
      </w:tr>
      <w:tr w14:paraId="1D8E2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62A2BBEE">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1.10.2</w:t>
            </w:r>
          </w:p>
        </w:tc>
        <w:tc>
          <w:tcPr>
            <w:tcW w:w="1927" w:type="dxa"/>
            <w:vAlign w:val="center"/>
          </w:tcPr>
          <w:p w14:paraId="4D464E09">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供应商提出问题的</w:t>
            </w:r>
          </w:p>
          <w:p w14:paraId="5999084B">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截止时间</w:t>
            </w:r>
          </w:p>
        </w:tc>
        <w:tc>
          <w:tcPr>
            <w:tcW w:w="6445" w:type="dxa"/>
            <w:vAlign w:val="center"/>
          </w:tcPr>
          <w:p w14:paraId="74440AA5">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若有疑问，应当在获取招标文件或者招标文件公告期限届满之日起七个工作日内，以书面形式向采购人、代理机构提出质疑。</w:t>
            </w:r>
          </w:p>
        </w:tc>
      </w:tr>
      <w:tr w14:paraId="35C5C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vAlign w:val="center"/>
          </w:tcPr>
          <w:p w14:paraId="6F9D41B6">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1.10.3</w:t>
            </w:r>
          </w:p>
        </w:tc>
        <w:tc>
          <w:tcPr>
            <w:tcW w:w="1927" w:type="dxa"/>
            <w:vAlign w:val="center"/>
          </w:tcPr>
          <w:p w14:paraId="5297D56E">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采购人说明澄清的时间</w:t>
            </w:r>
          </w:p>
        </w:tc>
        <w:tc>
          <w:tcPr>
            <w:tcW w:w="6445" w:type="dxa"/>
            <w:vAlign w:val="center"/>
          </w:tcPr>
          <w:p w14:paraId="1A0360D6">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招标文件规定的投标截止时间15天前</w:t>
            </w:r>
          </w:p>
        </w:tc>
      </w:tr>
      <w:tr w14:paraId="5944C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990" w:type="dxa"/>
            <w:vAlign w:val="center"/>
          </w:tcPr>
          <w:p w14:paraId="4AB710EA">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w:t>
            </w:r>
          </w:p>
        </w:tc>
        <w:tc>
          <w:tcPr>
            <w:tcW w:w="1927" w:type="dxa"/>
            <w:vAlign w:val="center"/>
          </w:tcPr>
          <w:p w14:paraId="086AC6E6">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分包</w:t>
            </w:r>
          </w:p>
        </w:tc>
        <w:tc>
          <w:tcPr>
            <w:tcW w:w="6445" w:type="dxa"/>
            <w:vAlign w:val="center"/>
          </w:tcPr>
          <w:p w14:paraId="6C380299">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不允许</w:t>
            </w:r>
          </w:p>
        </w:tc>
      </w:tr>
      <w:tr w14:paraId="52DA7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7D2A2FAE">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2.2.1</w:t>
            </w:r>
          </w:p>
        </w:tc>
        <w:tc>
          <w:tcPr>
            <w:tcW w:w="1927" w:type="dxa"/>
            <w:vAlign w:val="center"/>
          </w:tcPr>
          <w:p w14:paraId="7F92E56B">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供应商要求澄清招标文件的截止时间</w:t>
            </w:r>
          </w:p>
        </w:tc>
        <w:tc>
          <w:tcPr>
            <w:tcW w:w="6445" w:type="dxa"/>
            <w:vAlign w:val="center"/>
          </w:tcPr>
          <w:p w14:paraId="24C7370E">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若有疑问，应当在获取招标文件或者招标文件公告期限届满之日起七个工作日内，以书面形式向采购人、代理机构提出质疑。</w:t>
            </w:r>
          </w:p>
        </w:tc>
      </w:tr>
      <w:tr w14:paraId="4AE03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990" w:type="dxa"/>
            <w:vAlign w:val="center"/>
          </w:tcPr>
          <w:p w14:paraId="6D1EBDCF">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2.2.2</w:t>
            </w:r>
          </w:p>
        </w:tc>
        <w:tc>
          <w:tcPr>
            <w:tcW w:w="1927" w:type="dxa"/>
            <w:vAlign w:val="center"/>
          </w:tcPr>
          <w:p w14:paraId="4984EF87">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投标截止时间</w:t>
            </w:r>
          </w:p>
        </w:tc>
        <w:tc>
          <w:tcPr>
            <w:tcW w:w="6445" w:type="dxa"/>
            <w:vAlign w:val="center"/>
          </w:tcPr>
          <w:p w14:paraId="34E189EE">
            <w:pPr>
              <w:keepNext w:val="0"/>
              <w:keepLines w:val="0"/>
              <w:pageBreakBefore w:val="0"/>
              <w:kinsoku/>
              <w:wordWrap/>
              <w:overflowPunct/>
              <w:topLinePunct w:val="0"/>
              <w:bidi w:val="0"/>
              <w:spacing w:line="440" w:lineRule="exact"/>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u w:val="single"/>
                <w:lang w:eastAsia="zh-CN"/>
              </w:rPr>
              <w:t>2024年</w:t>
            </w:r>
            <w:r>
              <w:rPr>
                <w:rFonts w:hint="eastAsia" w:ascii="宋体" w:hAnsi="宋体" w:cs="宋体"/>
                <w:b/>
                <w:bCs/>
                <w:color w:val="auto"/>
                <w:kern w:val="0"/>
                <w:sz w:val="21"/>
                <w:szCs w:val="21"/>
                <w:highlight w:val="none"/>
                <w:u w:val="single"/>
                <w:lang w:val="en-US" w:eastAsia="zh-CN"/>
              </w:rPr>
              <w:t>09</w:t>
            </w:r>
            <w:r>
              <w:rPr>
                <w:rFonts w:hint="eastAsia" w:ascii="宋体" w:hAnsi="宋体" w:eastAsia="宋体" w:cs="宋体"/>
                <w:b/>
                <w:bCs/>
                <w:color w:val="auto"/>
                <w:kern w:val="0"/>
                <w:sz w:val="21"/>
                <w:szCs w:val="21"/>
                <w:highlight w:val="none"/>
                <w:u w:val="single"/>
              </w:rPr>
              <w:t>月</w:t>
            </w:r>
            <w:r>
              <w:rPr>
                <w:rFonts w:hint="eastAsia" w:ascii="宋体" w:hAnsi="宋体" w:cs="宋体"/>
                <w:b/>
                <w:bCs/>
                <w:color w:val="auto"/>
                <w:kern w:val="0"/>
                <w:sz w:val="21"/>
                <w:szCs w:val="21"/>
                <w:highlight w:val="none"/>
                <w:u w:val="single"/>
                <w:lang w:val="en-US" w:eastAsia="zh-CN"/>
              </w:rPr>
              <w:t>19</w:t>
            </w:r>
            <w:r>
              <w:rPr>
                <w:rFonts w:hint="eastAsia" w:ascii="宋体" w:hAnsi="宋体" w:eastAsia="宋体" w:cs="宋体"/>
                <w:b/>
                <w:bCs/>
                <w:color w:val="auto"/>
                <w:kern w:val="0"/>
                <w:sz w:val="21"/>
                <w:szCs w:val="21"/>
                <w:highlight w:val="none"/>
                <w:u w:val="single"/>
              </w:rPr>
              <w:t>日09</w:t>
            </w:r>
            <w:r>
              <w:rPr>
                <w:rFonts w:hint="eastAsia" w:ascii="宋体" w:hAnsi="宋体" w:eastAsia="宋体" w:cs="宋体"/>
                <w:b/>
                <w:bCs/>
                <w:color w:val="auto"/>
                <w:kern w:val="0"/>
                <w:sz w:val="21"/>
                <w:szCs w:val="21"/>
                <w:highlight w:val="none"/>
                <w:u w:val="single"/>
                <w:lang w:eastAsia="zh-CN"/>
              </w:rPr>
              <w:t>：</w:t>
            </w:r>
            <w:r>
              <w:rPr>
                <w:rFonts w:hint="eastAsia" w:ascii="宋体" w:hAnsi="宋体" w:eastAsia="宋体" w:cs="宋体"/>
                <w:b/>
                <w:bCs/>
                <w:color w:val="auto"/>
                <w:kern w:val="0"/>
                <w:sz w:val="21"/>
                <w:szCs w:val="21"/>
                <w:highlight w:val="none"/>
                <w:u w:val="single"/>
              </w:rPr>
              <w:t>00（北京时间）</w:t>
            </w:r>
          </w:p>
        </w:tc>
      </w:tr>
      <w:tr w14:paraId="2061E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4B7B69D3">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3.1.1</w:t>
            </w:r>
          </w:p>
        </w:tc>
        <w:tc>
          <w:tcPr>
            <w:tcW w:w="1927" w:type="dxa"/>
            <w:vAlign w:val="center"/>
          </w:tcPr>
          <w:p w14:paraId="20B783D4">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构成投标文件的</w:t>
            </w:r>
          </w:p>
          <w:p w14:paraId="535383F6">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其他材料</w:t>
            </w:r>
          </w:p>
        </w:tc>
        <w:tc>
          <w:tcPr>
            <w:tcW w:w="6445" w:type="dxa"/>
            <w:vAlign w:val="center"/>
          </w:tcPr>
          <w:p w14:paraId="2DC2DD1E">
            <w:pPr>
              <w:keepNext w:val="0"/>
              <w:keepLines w:val="0"/>
              <w:pageBreakBefore w:val="0"/>
              <w:kinsoku/>
              <w:wordWrap/>
              <w:overflowPunct/>
              <w:topLinePunct w:val="0"/>
              <w:bidi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招标文件中要求的其他资料。 </w:t>
            </w:r>
          </w:p>
        </w:tc>
      </w:tr>
      <w:tr w14:paraId="21EF2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990" w:type="dxa"/>
            <w:vAlign w:val="center"/>
          </w:tcPr>
          <w:p w14:paraId="2D01F542">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3.3.1</w:t>
            </w:r>
          </w:p>
        </w:tc>
        <w:tc>
          <w:tcPr>
            <w:tcW w:w="1927" w:type="dxa"/>
            <w:vAlign w:val="center"/>
          </w:tcPr>
          <w:p w14:paraId="03BBEA20">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投标有效期</w:t>
            </w:r>
          </w:p>
        </w:tc>
        <w:tc>
          <w:tcPr>
            <w:tcW w:w="6445" w:type="dxa"/>
            <w:vAlign w:val="center"/>
          </w:tcPr>
          <w:p w14:paraId="5DC87624">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60日历天（从投标截止之日算起）</w:t>
            </w:r>
          </w:p>
        </w:tc>
      </w:tr>
      <w:tr w14:paraId="1C575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645A304A">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3.6</w:t>
            </w:r>
          </w:p>
        </w:tc>
        <w:tc>
          <w:tcPr>
            <w:tcW w:w="1927" w:type="dxa"/>
            <w:vAlign w:val="center"/>
          </w:tcPr>
          <w:p w14:paraId="4E31DD19">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是否允许递交备选</w:t>
            </w:r>
          </w:p>
          <w:p w14:paraId="54F58B22">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投标方案</w:t>
            </w:r>
          </w:p>
        </w:tc>
        <w:tc>
          <w:tcPr>
            <w:tcW w:w="6445" w:type="dxa"/>
            <w:vAlign w:val="center"/>
          </w:tcPr>
          <w:p w14:paraId="2326C6D7">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不允许</w:t>
            </w:r>
          </w:p>
        </w:tc>
      </w:tr>
      <w:tr w14:paraId="0EA69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shd w:val="clear" w:color="auto" w:fill="auto"/>
            <w:vAlign w:val="center"/>
          </w:tcPr>
          <w:p w14:paraId="0556674C">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3.7.3</w:t>
            </w:r>
          </w:p>
        </w:tc>
        <w:tc>
          <w:tcPr>
            <w:tcW w:w="1927" w:type="dxa"/>
            <w:shd w:val="clear" w:color="auto" w:fill="auto"/>
            <w:vAlign w:val="center"/>
          </w:tcPr>
          <w:p w14:paraId="25C79CBD">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签字盖章要求</w:t>
            </w:r>
          </w:p>
        </w:tc>
        <w:tc>
          <w:tcPr>
            <w:tcW w:w="6445" w:type="dxa"/>
            <w:shd w:val="clear" w:color="auto" w:fill="auto"/>
            <w:vAlign w:val="center"/>
          </w:tcPr>
          <w:p w14:paraId="369465F3">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（1）要求供应商加盖公章的地方都应加盖供应商单位的CA 印章。</w:t>
            </w:r>
          </w:p>
          <w:p w14:paraId="0162EC8C">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（2）要求法定代表人签字或盖章的，法定代表人在签字或盖章的地方上传手写签名的扫描件或加盖法定代表人CA印章。</w:t>
            </w:r>
          </w:p>
          <w:p w14:paraId="4E8ECF95">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（3）要求委托代理人签字或盖章的，委托代理人在签字或盖章的地方上传手写签名的扫描件或加盖委托代理人CA印章。</w:t>
            </w:r>
          </w:p>
        </w:tc>
      </w:tr>
      <w:tr w14:paraId="1B48D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90" w:type="dxa"/>
            <w:vAlign w:val="center"/>
          </w:tcPr>
          <w:p w14:paraId="07619D58">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3.7.4</w:t>
            </w:r>
          </w:p>
        </w:tc>
        <w:tc>
          <w:tcPr>
            <w:tcW w:w="1927" w:type="dxa"/>
            <w:vAlign w:val="center"/>
          </w:tcPr>
          <w:p w14:paraId="2FD8725E">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投标文件份数</w:t>
            </w:r>
          </w:p>
        </w:tc>
        <w:tc>
          <w:tcPr>
            <w:tcW w:w="6445" w:type="dxa"/>
            <w:vAlign w:val="center"/>
          </w:tcPr>
          <w:p w14:paraId="6700DEBA">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加密的电子投标文件壹份（.jztf 格式在会员系统指定位置上传）；自备非加密的电子投标文件一份，如有紧急情况，在不见面开标按要求上传。</w:t>
            </w:r>
          </w:p>
        </w:tc>
      </w:tr>
      <w:tr w14:paraId="6ADBF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990" w:type="dxa"/>
            <w:vAlign w:val="center"/>
          </w:tcPr>
          <w:p w14:paraId="4D8FD18F">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4.2.2</w:t>
            </w:r>
          </w:p>
        </w:tc>
        <w:tc>
          <w:tcPr>
            <w:tcW w:w="1927" w:type="dxa"/>
            <w:vAlign w:val="center"/>
          </w:tcPr>
          <w:p w14:paraId="389A45F2">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递交投标文件方式和地点</w:t>
            </w:r>
          </w:p>
        </w:tc>
        <w:tc>
          <w:tcPr>
            <w:tcW w:w="6445" w:type="dxa"/>
            <w:vAlign w:val="center"/>
          </w:tcPr>
          <w:p w14:paraId="3C115F32">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本项目采用“远程不见面”开标方式，远程开标大厅网址为http://122.112.246.33/BidOpening/bidopeninghallaction/hall/login。投标人不需到开标现场参加开标会议，不需提交原件资料等。 </w:t>
            </w:r>
          </w:p>
          <w:p w14:paraId="2E0C40C4">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（1）电子投标文件的递交</w:t>
            </w:r>
          </w:p>
          <w:p w14:paraId="07CD9056">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a、各投标人应在投标截止时间前上传加密的电子投标文件</w:t>
            </w:r>
          </w:p>
          <w:p w14:paraId="31BBB601">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（.jztf 格式）到会员系统的指定位置。上传时必须得到电脑“上传成功”的确认回复。请投标人在上传时认真检查上传投标文件是否完整、正确。</w:t>
            </w:r>
          </w:p>
          <w:p w14:paraId="143D1BF9">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b、如系统故故障需上传非加密文件时，投标人应按照采购人指示将非加密文件递交给采购人。</w:t>
            </w:r>
          </w:p>
        </w:tc>
      </w:tr>
      <w:tr w14:paraId="658F1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7F5AACFB">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4.2.3</w:t>
            </w:r>
          </w:p>
        </w:tc>
        <w:tc>
          <w:tcPr>
            <w:tcW w:w="1927" w:type="dxa"/>
            <w:vAlign w:val="center"/>
          </w:tcPr>
          <w:p w14:paraId="316FA6B8">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是否退还投标文件</w:t>
            </w:r>
          </w:p>
        </w:tc>
        <w:tc>
          <w:tcPr>
            <w:tcW w:w="6445" w:type="dxa"/>
            <w:vAlign w:val="center"/>
          </w:tcPr>
          <w:p w14:paraId="5CA66C35">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否</w:t>
            </w:r>
          </w:p>
        </w:tc>
      </w:tr>
      <w:tr w14:paraId="56646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17D53718">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5.1</w:t>
            </w:r>
          </w:p>
        </w:tc>
        <w:tc>
          <w:tcPr>
            <w:tcW w:w="1927" w:type="dxa"/>
            <w:vAlign w:val="center"/>
          </w:tcPr>
          <w:p w14:paraId="392AC357">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开标时间和地点</w:t>
            </w:r>
          </w:p>
        </w:tc>
        <w:tc>
          <w:tcPr>
            <w:tcW w:w="6445" w:type="dxa"/>
            <w:vAlign w:val="center"/>
          </w:tcPr>
          <w:p w14:paraId="1B644C49">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开标时间：同投标截止时间。登录远程开标大厅，凭制作投标文件所用的企业 CA 密匙在线签到、解密文件等，解密时间为投标截止时后30分钟内。</w:t>
            </w:r>
          </w:p>
          <w:p w14:paraId="2D4C055E">
            <w:pPr>
              <w:keepNext w:val="0"/>
              <w:keepLines w:val="0"/>
              <w:pageBreakBefore w:val="0"/>
              <w:kinsoku/>
              <w:wordWrap/>
              <w:overflowPunct/>
              <w:topLinePunct w:val="0"/>
              <w:bidi w:val="0"/>
              <w:spacing w:line="440" w:lineRule="exact"/>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现场开标地点：</w:t>
            </w:r>
            <w:r>
              <w:rPr>
                <w:rFonts w:hint="eastAsia" w:ascii="宋体" w:hAnsi="宋体" w:eastAsia="宋体" w:cs="宋体"/>
                <w:color w:val="auto"/>
                <w:sz w:val="21"/>
                <w:szCs w:val="21"/>
                <w:highlight w:val="none"/>
                <w:lang w:eastAsia="zh-CN"/>
              </w:rPr>
              <w:t>博爱县公共资源交易中心二楼不</w:t>
            </w:r>
            <w:r>
              <w:rPr>
                <w:rFonts w:hint="eastAsia" w:ascii="宋体" w:hAnsi="宋体" w:eastAsia="宋体" w:cs="宋体"/>
                <w:color w:val="auto"/>
                <w:sz w:val="21"/>
                <w:szCs w:val="21"/>
                <w:highlight w:val="none"/>
                <w:lang w:eastAsia="zh-CN"/>
              </w:rPr>
              <w:t>见面开标</w:t>
            </w:r>
            <w:r>
              <w:rPr>
                <w:rFonts w:hint="eastAsia" w:ascii="宋体" w:hAnsi="宋体" w:cs="宋体"/>
                <w:color w:val="auto"/>
                <w:sz w:val="21"/>
                <w:szCs w:val="21"/>
                <w:highlight w:val="none"/>
                <w:lang w:val="en-US" w:eastAsia="zh-CN"/>
              </w:rPr>
              <w:t>二</w:t>
            </w:r>
            <w:r>
              <w:rPr>
                <w:rFonts w:hint="eastAsia" w:ascii="宋体" w:hAnsi="宋体" w:eastAsia="宋体" w:cs="宋体"/>
                <w:color w:val="auto"/>
                <w:sz w:val="21"/>
                <w:szCs w:val="21"/>
                <w:highlight w:val="none"/>
                <w:lang w:eastAsia="zh-CN"/>
              </w:rPr>
              <w:t>室</w:t>
            </w:r>
          </w:p>
        </w:tc>
      </w:tr>
      <w:tr w14:paraId="0AB6F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90" w:type="dxa"/>
            <w:vAlign w:val="center"/>
          </w:tcPr>
          <w:p w14:paraId="7AFACC73">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6.1.1</w:t>
            </w:r>
          </w:p>
        </w:tc>
        <w:tc>
          <w:tcPr>
            <w:tcW w:w="1927" w:type="dxa"/>
            <w:vAlign w:val="center"/>
          </w:tcPr>
          <w:p w14:paraId="2B81BD2A">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评标委员会的组建</w:t>
            </w:r>
          </w:p>
        </w:tc>
        <w:tc>
          <w:tcPr>
            <w:tcW w:w="6445" w:type="dxa"/>
            <w:vAlign w:val="center"/>
          </w:tcPr>
          <w:p w14:paraId="48F96D40">
            <w:pPr>
              <w:keepNext w:val="0"/>
              <w:keepLines w:val="0"/>
              <w:pageBreakBefore w:val="0"/>
              <w:kinsoku/>
              <w:wordWrap/>
              <w:overflowPunct/>
              <w:topLinePunct w:val="0"/>
              <w:bidi w:val="0"/>
              <w:spacing w:line="440" w:lineRule="exact"/>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评标委</w:t>
            </w:r>
            <w:r>
              <w:rPr>
                <w:rFonts w:hint="eastAsia" w:ascii="宋体" w:hAnsi="宋体" w:eastAsia="宋体" w:cs="宋体"/>
                <w:color w:val="auto"/>
                <w:sz w:val="21"/>
                <w:szCs w:val="21"/>
                <w:highlight w:val="none"/>
              </w:rPr>
              <w:t>员会构成：由采购人代表</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名和政府采购专家库中随机抽取的评审专家</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名,共</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人组成。</w:t>
            </w:r>
          </w:p>
          <w:p w14:paraId="13EAFC21">
            <w:pPr>
              <w:keepNext w:val="0"/>
              <w:keepLines w:val="0"/>
              <w:pageBreakBefore w:val="0"/>
              <w:kinsoku/>
              <w:wordWrap/>
              <w:overflowPunct/>
              <w:topLinePunct w:val="0"/>
              <w:bidi w:val="0"/>
              <w:spacing w:line="440" w:lineRule="exact"/>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评审专家确定方式：在开标前从有关政府部门设立的评标专家中随机抽取确定。</w:t>
            </w:r>
          </w:p>
        </w:tc>
      </w:tr>
      <w:tr w14:paraId="7B3C1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629AE473">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7.1</w:t>
            </w:r>
          </w:p>
        </w:tc>
        <w:tc>
          <w:tcPr>
            <w:tcW w:w="1927" w:type="dxa"/>
            <w:vAlign w:val="center"/>
          </w:tcPr>
          <w:p w14:paraId="1808618A">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是否授权评标委员会确定中标人</w:t>
            </w:r>
          </w:p>
        </w:tc>
        <w:tc>
          <w:tcPr>
            <w:tcW w:w="6445" w:type="dxa"/>
            <w:vAlign w:val="center"/>
          </w:tcPr>
          <w:p w14:paraId="6B818129">
            <w:pPr>
              <w:keepNext w:val="0"/>
              <w:keepLines w:val="0"/>
              <w:pageBreakBefore w:val="0"/>
              <w:kinsoku/>
              <w:wordWrap/>
              <w:overflowPunct/>
              <w:topLinePunct w:val="0"/>
              <w:bidi w:val="0"/>
              <w:spacing w:line="440" w:lineRule="exact"/>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否，由评标委员会从认定的合理报价中，按得分由高到低的顺序，依次推荐3名中标候选人。</w:t>
            </w:r>
          </w:p>
          <w:p w14:paraId="68C87952">
            <w:pPr>
              <w:keepNext w:val="0"/>
              <w:keepLines w:val="0"/>
              <w:pageBreakBefore w:val="0"/>
              <w:kinsoku/>
              <w:wordWrap/>
              <w:overflowPunct/>
              <w:topLinePunct w:val="0"/>
              <w:bidi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人应当确定排名第一的中标候选人为中标人。排名第一的中标候选人放弃中标、因不可抗力不能履行合同，或者被查实存在影响中标结果的违法行为等情形，不符合中标条件的，采购人可以按照评标委员会提出的中标候选人名单排序依次确定其他中标候选人为中标人。</w:t>
            </w:r>
          </w:p>
          <w:p w14:paraId="1459DBB2">
            <w:pPr>
              <w:keepNext w:val="0"/>
              <w:keepLines w:val="0"/>
              <w:pageBreakBefore w:val="0"/>
              <w:kinsoku/>
              <w:wordWrap/>
              <w:overflowPunct/>
              <w:topLinePunct w:val="0"/>
              <w:bidi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非因不可抗力因素放弃中标的，或排名第一的中标候选人未按规定期限与采购人签订合同的，应赔偿采购人由此造成的损失，损失费的计算方法为该中标候选人的投标价与重新确定的中标人中标价的差额，将按相关规定予以处理。</w:t>
            </w:r>
          </w:p>
        </w:tc>
      </w:tr>
      <w:tr w14:paraId="16B4F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61EE749F">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7.3.1</w:t>
            </w:r>
          </w:p>
        </w:tc>
        <w:tc>
          <w:tcPr>
            <w:tcW w:w="1927" w:type="dxa"/>
            <w:vAlign w:val="center"/>
          </w:tcPr>
          <w:p w14:paraId="1255E03B">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履约保证金</w:t>
            </w:r>
          </w:p>
        </w:tc>
        <w:tc>
          <w:tcPr>
            <w:tcW w:w="6445" w:type="dxa"/>
            <w:vAlign w:val="center"/>
          </w:tcPr>
          <w:p w14:paraId="308F6D6B">
            <w:pPr>
              <w:keepNext w:val="0"/>
              <w:keepLines w:val="0"/>
              <w:pageBreakBefore w:val="0"/>
              <w:kinsoku/>
              <w:wordWrap/>
              <w:overflowPunct/>
              <w:topLinePunct w:val="0"/>
              <w:bidi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无</w:t>
            </w:r>
          </w:p>
        </w:tc>
      </w:tr>
      <w:tr w14:paraId="22F4C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shd w:val="clear" w:color="auto" w:fill="auto"/>
            <w:vAlign w:val="center"/>
          </w:tcPr>
          <w:p w14:paraId="2C450807">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7.3.2</w:t>
            </w:r>
          </w:p>
        </w:tc>
        <w:tc>
          <w:tcPr>
            <w:tcW w:w="1927" w:type="dxa"/>
            <w:shd w:val="clear" w:color="auto" w:fill="auto"/>
            <w:vAlign w:val="center"/>
          </w:tcPr>
          <w:p w14:paraId="5F09C96B">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投标保证金</w:t>
            </w:r>
          </w:p>
        </w:tc>
        <w:tc>
          <w:tcPr>
            <w:tcW w:w="6445" w:type="dxa"/>
            <w:shd w:val="clear" w:color="auto" w:fill="auto"/>
            <w:vAlign w:val="center"/>
          </w:tcPr>
          <w:p w14:paraId="7D6E7059">
            <w:pPr>
              <w:keepNext w:val="0"/>
              <w:keepLines w:val="0"/>
              <w:pageBreakBefore w:val="0"/>
              <w:kinsoku/>
              <w:wordWrap/>
              <w:overflowPunct/>
              <w:topLinePunct w:val="0"/>
              <w:bidi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无</w:t>
            </w:r>
          </w:p>
        </w:tc>
      </w:tr>
      <w:tr w14:paraId="0C380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90" w:type="dxa"/>
            <w:vAlign w:val="center"/>
          </w:tcPr>
          <w:p w14:paraId="34BE542B">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7.3.3</w:t>
            </w:r>
          </w:p>
        </w:tc>
        <w:tc>
          <w:tcPr>
            <w:tcW w:w="1927" w:type="dxa"/>
            <w:vAlign w:val="center"/>
          </w:tcPr>
          <w:p w14:paraId="6F3B8C73">
            <w:pPr>
              <w:keepNext w:val="0"/>
              <w:keepLines w:val="0"/>
              <w:pageBreakBefore w:val="0"/>
              <w:kinsoku/>
              <w:wordWrap/>
              <w:overflowPunct/>
              <w:topLinePunct w:val="0"/>
              <w:bidi w:val="0"/>
              <w:spacing w:line="440" w:lineRule="exact"/>
              <w:textAlignment w:val="auto"/>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质量保证金</w:t>
            </w:r>
          </w:p>
        </w:tc>
        <w:tc>
          <w:tcPr>
            <w:tcW w:w="6445" w:type="dxa"/>
            <w:vAlign w:val="bottom"/>
          </w:tcPr>
          <w:p w14:paraId="006F2DA8">
            <w:pPr>
              <w:keepNext w:val="0"/>
              <w:keepLines w:val="0"/>
              <w:pageBreakBefore w:val="0"/>
              <w:kinsoku/>
              <w:wordWrap/>
              <w:overflowPunct/>
              <w:topLinePunct w:val="0"/>
              <w:bidi w:val="0"/>
              <w:spacing w:line="440" w:lineRule="exact"/>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无，本项目采购货物在质保期内属于货物质量问题的，成交供应商应免费维修，不能维修的应及时更换新货物，供应商须针对质保期内的质量问题提供承诺函。</w:t>
            </w:r>
          </w:p>
        </w:tc>
      </w:tr>
      <w:tr w14:paraId="6A22C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90" w:type="dxa"/>
            <w:vAlign w:val="bottom"/>
          </w:tcPr>
          <w:p w14:paraId="26C08124">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auto"/>
                <w:sz w:val="21"/>
                <w:szCs w:val="21"/>
                <w:highlight w:val="none"/>
              </w:rPr>
            </w:pPr>
            <w:r>
              <w:rPr>
                <w:rFonts w:hint="eastAsia" w:ascii="宋体" w:hAnsi="宋体" w:eastAsia="宋体" w:cs="宋体"/>
                <w:bCs/>
                <w:color w:val="auto"/>
                <w:sz w:val="21"/>
                <w:szCs w:val="21"/>
                <w:highlight w:val="none"/>
              </w:rPr>
              <w:t>10</w:t>
            </w:r>
          </w:p>
        </w:tc>
        <w:tc>
          <w:tcPr>
            <w:tcW w:w="8372" w:type="dxa"/>
            <w:gridSpan w:val="2"/>
            <w:vAlign w:val="bottom"/>
          </w:tcPr>
          <w:p w14:paraId="66039D64">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需要补充的其他内容</w:t>
            </w:r>
          </w:p>
        </w:tc>
      </w:tr>
      <w:tr w14:paraId="3489C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990" w:type="dxa"/>
            <w:vAlign w:val="center"/>
          </w:tcPr>
          <w:p w14:paraId="287473B6">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10.1</w:t>
            </w:r>
          </w:p>
        </w:tc>
        <w:tc>
          <w:tcPr>
            <w:tcW w:w="1927" w:type="dxa"/>
            <w:vAlign w:val="center"/>
          </w:tcPr>
          <w:p w14:paraId="424E8B38">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预算金额</w:t>
            </w:r>
          </w:p>
        </w:tc>
        <w:tc>
          <w:tcPr>
            <w:tcW w:w="6445" w:type="dxa"/>
            <w:vAlign w:val="bottom"/>
          </w:tcPr>
          <w:p w14:paraId="19675929">
            <w:pPr>
              <w:pStyle w:val="64"/>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kern w:val="0"/>
                <w:sz w:val="21"/>
                <w:szCs w:val="21"/>
                <w:highlight w:val="none"/>
                <w:lang w:val="en-US" w:eastAsia="zh-CN" w:bidi="ar-SA"/>
              </w:rPr>
              <w:t>1、</w:t>
            </w:r>
            <w:r>
              <w:rPr>
                <w:rFonts w:hint="eastAsia" w:ascii="宋体" w:hAnsi="宋体" w:eastAsia="宋体" w:cs="宋体"/>
                <w:b/>
                <w:bCs/>
                <w:color w:val="auto"/>
                <w:sz w:val="21"/>
                <w:szCs w:val="21"/>
                <w:highlight w:val="none"/>
              </w:rPr>
              <w:t>本</w:t>
            </w:r>
            <w:r>
              <w:rPr>
                <w:rFonts w:hint="eastAsia" w:ascii="宋体" w:hAnsi="宋体" w:cs="宋体"/>
                <w:b/>
                <w:bCs/>
                <w:color w:val="auto"/>
                <w:sz w:val="21"/>
                <w:szCs w:val="21"/>
                <w:highlight w:val="none"/>
                <w:lang w:val="en-US" w:eastAsia="zh-CN"/>
              </w:rPr>
              <w:t>包段</w:t>
            </w:r>
            <w:r>
              <w:rPr>
                <w:rFonts w:hint="eastAsia" w:ascii="宋体" w:hAnsi="宋体" w:eastAsia="宋体" w:cs="宋体"/>
                <w:b/>
                <w:bCs/>
                <w:color w:val="auto"/>
                <w:sz w:val="21"/>
                <w:szCs w:val="21"/>
                <w:highlight w:val="none"/>
              </w:rPr>
              <w:t>预算</w:t>
            </w:r>
            <w:r>
              <w:rPr>
                <w:rFonts w:hint="eastAsia" w:ascii="宋体" w:hAnsi="宋体" w:eastAsia="宋体" w:cs="宋体"/>
                <w:b/>
                <w:bCs/>
                <w:color w:val="auto"/>
                <w:sz w:val="21"/>
                <w:szCs w:val="21"/>
                <w:highlight w:val="none"/>
                <w:lang w:val="en-US" w:eastAsia="zh-CN"/>
              </w:rPr>
              <w:t>金额为：</w:t>
            </w:r>
            <w:r>
              <w:rPr>
                <w:rFonts w:hint="eastAsia" w:ascii="宋体" w:hAnsi="宋体" w:cs="宋体"/>
                <w:b/>
                <w:bCs/>
                <w:color w:val="auto"/>
                <w:sz w:val="21"/>
                <w:szCs w:val="21"/>
                <w:highlight w:val="none"/>
                <w:lang w:val="en-US" w:eastAsia="zh-CN"/>
              </w:rPr>
              <w:t>1750000</w:t>
            </w:r>
            <w:r>
              <w:rPr>
                <w:rFonts w:hint="eastAsia" w:ascii="宋体" w:hAnsi="宋体" w:eastAsia="宋体" w:cs="宋体"/>
                <w:b/>
                <w:bCs/>
                <w:color w:val="auto"/>
                <w:sz w:val="21"/>
                <w:szCs w:val="21"/>
                <w:highlight w:val="none"/>
                <w:lang w:val="en-US" w:eastAsia="zh-CN"/>
              </w:rPr>
              <w:t>.00元；</w:t>
            </w:r>
          </w:p>
          <w:p w14:paraId="27DF0530">
            <w:pPr>
              <w:keepNext w:val="0"/>
              <w:keepLines w:val="0"/>
              <w:pageBreakBefore w:val="0"/>
              <w:kinsoku/>
              <w:wordWrap/>
              <w:overflowPunct/>
              <w:topLinePunct w:val="0"/>
              <w:bidi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eastAsia="zh-CN"/>
              </w:rPr>
              <w:t>最高限价</w:t>
            </w:r>
            <w:r>
              <w:rPr>
                <w:rFonts w:hint="eastAsia" w:ascii="宋体" w:hAnsi="宋体" w:eastAsia="宋体" w:cs="宋体"/>
                <w:color w:val="auto"/>
                <w:sz w:val="21"/>
                <w:szCs w:val="21"/>
                <w:highlight w:val="none"/>
              </w:rPr>
              <w:t>是采购人设置的最高限价，供应商的投标报价高于</w:t>
            </w:r>
            <w:r>
              <w:rPr>
                <w:rFonts w:hint="eastAsia" w:ascii="宋体" w:hAnsi="宋体" w:eastAsia="宋体" w:cs="宋体"/>
                <w:color w:val="auto"/>
                <w:sz w:val="21"/>
                <w:szCs w:val="21"/>
                <w:highlight w:val="none"/>
                <w:lang w:eastAsia="zh-CN"/>
              </w:rPr>
              <w:t>最高限价</w:t>
            </w:r>
            <w:r>
              <w:rPr>
                <w:rFonts w:hint="eastAsia" w:ascii="宋体" w:hAnsi="宋体" w:eastAsia="宋体" w:cs="宋体"/>
                <w:color w:val="auto"/>
                <w:sz w:val="21"/>
                <w:szCs w:val="21"/>
                <w:highlight w:val="none"/>
              </w:rPr>
              <w:t>的视为无效报价，其投标予以拒绝。</w:t>
            </w:r>
          </w:p>
          <w:p w14:paraId="29BDE292">
            <w:pPr>
              <w:keepNext w:val="0"/>
              <w:keepLines w:val="0"/>
              <w:pageBreakBefore w:val="0"/>
              <w:kinsoku/>
              <w:wordWrap/>
              <w:overflowPunct/>
              <w:topLinePunct w:val="0"/>
              <w:bidi w:val="0"/>
              <w:spacing w:line="440" w:lineRule="exact"/>
              <w:textAlignment w:val="auto"/>
              <w:rPr>
                <w:rFonts w:hint="eastAsia" w:ascii="宋体" w:hAnsi="宋体" w:eastAsia="宋体" w:cs="宋体"/>
                <w:color w:val="auto"/>
                <w:sz w:val="21"/>
                <w:szCs w:val="21"/>
                <w:highlight w:val="none"/>
                <w:lang w:eastAsia="zh-CN"/>
              </w:rPr>
            </w:pPr>
            <w:r>
              <w:rPr>
                <w:rFonts w:hint="eastAsia" w:ascii="宋体" w:hAnsi="宋体" w:eastAsia="宋体" w:cs="宋体"/>
                <w:b/>
                <w:bCs/>
                <w:color w:val="auto"/>
                <w:sz w:val="21"/>
                <w:szCs w:val="21"/>
                <w:highlight w:val="none"/>
                <w:lang w:eastAsia="zh-CN"/>
              </w:rPr>
              <w:t>3、当中标人的投标报价高于最高限价的95%时，该中标人的中标价按最高限价的95%执行。</w:t>
            </w:r>
          </w:p>
        </w:tc>
      </w:tr>
      <w:tr w14:paraId="32062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990" w:type="dxa"/>
            <w:vAlign w:val="center"/>
          </w:tcPr>
          <w:p w14:paraId="1A104DAF">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10.2</w:t>
            </w:r>
          </w:p>
        </w:tc>
        <w:tc>
          <w:tcPr>
            <w:tcW w:w="1927" w:type="dxa"/>
            <w:vAlign w:val="center"/>
          </w:tcPr>
          <w:p w14:paraId="40602841">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小型或微型企业（含监狱企业）</w:t>
            </w:r>
          </w:p>
        </w:tc>
        <w:tc>
          <w:tcPr>
            <w:tcW w:w="6445" w:type="dxa"/>
            <w:vAlign w:val="center"/>
          </w:tcPr>
          <w:p w14:paraId="7F06F0A2">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kern w:val="0"/>
                <w:sz w:val="21"/>
                <w:szCs w:val="21"/>
                <w:highlight w:val="none"/>
              </w:rPr>
              <w:t>对小型或微型企业投标的扶持：(如有）</w:t>
            </w:r>
          </w:p>
          <w:p w14:paraId="2AE2C7DA">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1.1投标供应商为小型或微型企业时，报价给予C1的价格扣除（C1的取值为20%），即：评标价＝投标报价（最后报价）×(1－C1）；</w:t>
            </w:r>
          </w:p>
          <w:p w14:paraId="30FAC495">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rPr>
              <w:t>小微企业应当提供《中小企业声明函》（见格式）。</w:t>
            </w:r>
          </w:p>
          <w:p w14:paraId="6ED2EE19">
            <w:pPr>
              <w:keepNext w:val="0"/>
              <w:keepLines w:val="0"/>
              <w:pageBreakBefore w:val="0"/>
              <w:kinsoku/>
              <w:wordWrap/>
              <w:overflowPunct/>
              <w:topLinePunct w:val="0"/>
              <w:bidi w:val="0"/>
              <w:spacing w:line="44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2、按照《政府采购促进中小企业发展管理办法》有关规定，中小企业的标准为：</w:t>
            </w:r>
          </w:p>
          <w:p w14:paraId="77138850">
            <w:pPr>
              <w:keepNext w:val="0"/>
              <w:keepLines w:val="0"/>
              <w:pageBreakBefore w:val="0"/>
              <w:kinsoku/>
              <w:wordWrap/>
              <w:overflowPunct/>
              <w:topLinePunct w:val="0"/>
              <w:bidi w:val="0"/>
              <w:spacing w:line="44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2.1提供本企业制造的货物、承担的工程或者服务，或者提供其他中小企业制造的货物，不包括提供或使用大型企业注册商标的货物；</w:t>
            </w:r>
          </w:p>
          <w:p w14:paraId="23B52C6A">
            <w:pPr>
              <w:keepNext w:val="0"/>
              <w:keepLines w:val="0"/>
              <w:pageBreakBefore w:val="0"/>
              <w:kinsoku/>
              <w:wordWrap/>
              <w:overflowPunct/>
              <w:topLinePunct w:val="0"/>
              <w:bidi w:val="0"/>
              <w:spacing w:line="44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2.2本规定所称中小企业划分标准，是指国务院有关部门根据企业从业人员、营业收入、资产总额等指标制定的中小企业划型标准（工信部联企业﹝2011﹞300号）；</w:t>
            </w:r>
          </w:p>
          <w:p w14:paraId="62AE2404">
            <w:pPr>
              <w:keepNext w:val="0"/>
              <w:keepLines w:val="0"/>
              <w:pageBreakBefore w:val="0"/>
              <w:kinsoku/>
              <w:wordWrap/>
              <w:overflowPunct/>
              <w:topLinePunct w:val="0"/>
              <w:bidi w:val="0"/>
              <w:spacing w:line="44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2.3小型、微型企业提供有中型企业制造的货物的，视同为中型企业；小型、微型、中型企业提供有大型企业制造的货物的，视同为大型企业。</w:t>
            </w:r>
          </w:p>
          <w:p w14:paraId="62FF2D3D">
            <w:pPr>
              <w:keepNext w:val="0"/>
              <w:keepLines w:val="0"/>
              <w:pageBreakBefore w:val="0"/>
              <w:kinsoku/>
              <w:wordWrap/>
              <w:overflowPunct/>
              <w:topLinePunct w:val="0"/>
              <w:bidi w:val="0"/>
              <w:spacing w:line="44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根据财政部司法部《关于政府采购支持监狱企业发展有关问题的通知》（财库〔2014〕68号）和财政部民政部中国残疾人联合会《关于促进残疾人就业政府采购政策的通知》（财库〔2017〕141号）规定；监狱企业和残疾人福利性单位视同小型、微型企业。</w:t>
            </w:r>
          </w:p>
          <w:p w14:paraId="4D8B92E9">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备注：小微企业（监狱企业、残疾人福利性单位视同小微企业）价格扣除按照20%。</w:t>
            </w:r>
          </w:p>
          <w:p w14:paraId="310BB245">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rPr>
              <w:t>中小企业划分标准（所属行业）：工业</w:t>
            </w:r>
          </w:p>
        </w:tc>
      </w:tr>
      <w:tr w14:paraId="6AF01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trPr>
        <w:tc>
          <w:tcPr>
            <w:tcW w:w="990" w:type="dxa"/>
            <w:vAlign w:val="center"/>
          </w:tcPr>
          <w:p w14:paraId="4003B950">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10.3</w:t>
            </w:r>
          </w:p>
        </w:tc>
        <w:tc>
          <w:tcPr>
            <w:tcW w:w="1927" w:type="dxa"/>
            <w:vAlign w:val="center"/>
          </w:tcPr>
          <w:p w14:paraId="0546DFEA">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核心产品</w:t>
            </w:r>
          </w:p>
        </w:tc>
        <w:tc>
          <w:tcPr>
            <w:tcW w:w="6445" w:type="dxa"/>
            <w:vAlign w:val="center"/>
          </w:tcPr>
          <w:p w14:paraId="5D07C67C">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 xml:space="preserve">1、提供相同品牌核心产品且通过资格审查、符合性审查的不同供应商参加同一合同项下投标的，按一家供应商计算，评审后得分最高的同品牌供应商获得中标人推荐资格；评审得分相同的，由采购人委托评标委员会按照随机抽取方式确定一个供应商获得中标人推荐资格，其他同品牌供应商不作为中标候选人。 </w:t>
            </w:r>
          </w:p>
          <w:p w14:paraId="7F2F83BC">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bCs/>
                <w:color w:val="auto"/>
                <w:sz w:val="21"/>
                <w:szCs w:val="21"/>
                <w:highlight w:val="none"/>
              </w:rPr>
            </w:pPr>
            <w:r>
              <w:rPr>
                <w:rFonts w:hint="eastAsia" w:ascii="宋体" w:hAnsi="宋体" w:eastAsia="宋体" w:cs="宋体"/>
                <w:b/>
                <w:bCs/>
                <w:color w:val="auto"/>
                <w:sz w:val="21"/>
                <w:szCs w:val="21"/>
                <w:highlight w:val="none"/>
              </w:rPr>
              <w:t xml:space="preserve">2、核心产品：详见第五章 </w:t>
            </w:r>
          </w:p>
        </w:tc>
      </w:tr>
      <w:tr w14:paraId="77735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990" w:type="dxa"/>
            <w:vAlign w:val="center"/>
          </w:tcPr>
          <w:p w14:paraId="03E4D3DD">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10.4</w:t>
            </w:r>
          </w:p>
        </w:tc>
        <w:tc>
          <w:tcPr>
            <w:tcW w:w="1927" w:type="dxa"/>
            <w:vAlign w:val="center"/>
          </w:tcPr>
          <w:p w14:paraId="026E3831">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付款方式</w:t>
            </w:r>
          </w:p>
        </w:tc>
        <w:tc>
          <w:tcPr>
            <w:tcW w:w="6445" w:type="dxa"/>
            <w:vAlign w:val="center"/>
          </w:tcPr>
          <w:p w14:paraId="591B6A4A">
            <w:pPr>
              <w:keepNext w:val="0"/>
              <w:keepLines w:val="0"/>
              <w:pageBreakBefore w:val="0"/>
              <w:kinsoku/>
              <w:wordWrap/>
              <w:overflowPunct/>
              <w:topLinePunct w:val="0"/>
              <w:bidi w:val="0"/>
              <w:spacing w:line="440" w:lineRule="exact"/>
              <w:textAlignment w:val="auto"/>
              <w:rPr>
                <w:rFonts w:hint="eastAsia" w:ascii="宋体" w:hAnsi="宋体" w:eastAsia="宋体" w:cs="宋体"/>
                <w:bCs/>
                <w:color w:val="auto"/>
                <w:sz w:val="21"/>
                <w:szCs w:val="21"/>
                <w:highlight w:val="none"/>
                <w:lang w:eastAsia="zh-CN"/>
              </w:rPr>
            </w:pPr>
            <w:r>
              <w:rPr>
                <w:rFonts w:hint="eastAsia" w:ascii="宋体" w:hAnsi="宋体" w:eastAsia="宋体" w:cs="宋体"/>
                <w:color w:val="auto"/>
                <w:sz w:val="21"/>
                <w:szCs w:val="21"/>
                <w:highlight w:val="none"/>
                <w:lang w:val="en-US" w:eastAsia="zh-CN"/>
              </w:rPr>
              <w:t>合同签订后，本项目分二批次供货，全部供货安装结束，该项目经过国家认可的第三方质量检测机构验收和检测合格后，据实支付合同总额的100％。</w:t>
            </w:r>
          </w:p>
        </w:tc>
      </w:tr>
      <w:tr w14:paraId="1BDCE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trPr>
        <w:tc>
          <w:tcPr>
            <w:tcW w:w="990" w:type="dxa"/>
            <w:vAlign w:val="center"/>
          </w:tcPr>
          <w:p w14:paraId="42B9D5A4">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10.5</w:t>
            </w:r>
          </w:p>
        </w:tc>
        <w:tc>
          <w:tcPr>
            <w:tcW w:w="1927" w:type="dxa"/>
            <w:vAlign w:val="center"/>
          </w:tcPr>
          <w:p w14:paraId="1A7938AC">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供货要求</w:t>
            </w:r>
          </w:p>
        </w:tc>
        <w:tc>
          <w:tcPr>
            <w:tcW w:w="6445" w:type="dxa"/>
            <w:vAlign w:val="center"/>
          </w:tcPr>
          <w:p w14:paraId="1DD8998D">
            <w:pPr>
              <w:keepNext w:val="0"/>
              <w:keepLines w:val="0"/>
              <w:pageBreakBefore w:val="0"/>
              <w:kinsoku/>
              <w:wordWrap/>
              <w:overflowPunct/>
              <w:topLinePunct w:val="0"/>
              <w:bidi w:val="0"/>
              <w:spacing w:line="440" w:lineRule="exact"/>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若因</w:t>
            </w:r>
            <w:r>
              <w:rPr>
                <w:rFonts w:hint="eastAsia" w:ascii="宋体" w:hAnsi="宋体" w:eastAsia="宋体" w:cs="宋体"/>
                <w:bCs/>
                <w:color w:val="auto"/>
                <w:sz w:val="21"/>
                <w:szCs w:val="21"/>
                <w:highlight w:val="none"/>
                <w:lang w:val="en-US" w:eastAsia="zh-CN"/>
              </w:rPr>
              <w:t>中标</w:t>
            </w:r>
            <w:r>
              <w:rPr>
                <w:rFonts w:hint="eastAsia" w:ascii="宋体" w:hAnsi="宋体" w:eastAsia="宋体" w:cs="宋体"/>
                <w:bCs/>
                <w:color w:val="auto"/>
                <w:sz w:val="21"/>
                <w:szCs w:val="21"/>
                <w:highlight w:val="none"/>
              </w:rPr>
              <w:t>人原因不能按期按质供货，将扣除</w:t>
            </w:r>
            <w:r>
              <w:rPr>
                <w:rFonts w:hint="eastAsia" w:ascii="宋体" w:hAnsi="宋体" w:eastAsia="宋体" w:cs="宋体"/>
                <w:bCs/>
                <w:color w:val="auto"/>
                <w:sz w:val="21"/>
                <w:szCs w:val="21"/>
                <w:highlight w:val="none"/>
                <w:lang w:val="en-US" w:eastAsia="zh-CN"/>
              </w:rPr>
              <w:t>中标</w:t>
            </w:r>
            <w:r>
              <w:rPr>
                <w:rFonts w:hint="eastAsia" w:ascii="宋体" w:hAnsi="宋体" w:eastAsia="宋体" w:cs="宋体"/>
                <w:bCs/>
                <w:color w:val="auto"/>
                <w:sz w:val="21"/>
                <w:szCs w:val="21"/>
                <w:highlight w:val="none"/>
              </w:rPr>
              <w:t>人2万元的违约金，同时每超过一天另扣除合同金额的千分之一。</w:t>
            </w:r>
          </w:p>
        </w:tc>
      </w:tr>
      <w:tr w14:paraId="259B4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990" w:type="dxa"/>
            <w:vAlign w:val="center"/>
          </w:tcPr>
          <w:p w14:paraId="251D260A">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10.6</w:t>
            </w:r>
          </w:p>
        </w:tc>
        <w:tc>
          <w:tcPr>
            <w:tcW w:w="1927" w:type="dxa"/>
            <w:vAlign w:val="center"/>
          </w:tcPr>
          <w:p w14:paraId="2E9C11AE">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招标代理服务费</w:t>
            </w:r>
          </w:p>
        </w:tc>
        <w:tc>
          <w:tcPr>
            <w:tcW w:w="6445" w:type="dxa"/>
            <w:vAlign w:val="center"/>
          </w:tcPr>
          <w:p w14:paraId="6DEAF2B8">
            <w:pPr>
              <w:keepNext w:val="0"/>
              <w:keepLines w:val="0"/>
              <w:pageBreakBefore w:val="0"/>
              <w:kinsoku/>
              <w:wordWrap/>
              <w:overflowPunct/>
              <w:topLinePunct w:val="0"/>
              <w:bidi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招标代理服务费:</w:t>
            </w:r>
            <w:r>
              <w:rPr>
                <w:rFonts w:hint="eastAsia" w:ascii="宋体" w:hAnsi="宋体" w:eastAsia="宋体" w:cs="宋体"/>
                <w:color w:val="auto"/>
                <w:sz w:val="21"/>
                <w:szCs w:val="21"/>
                <w:highlight w:val="none"/>
                <w:lang w:val="en-US" w:eastAsia="zh-CN" w:bidi="ar-SA"/>
              </w:rPr>
              <w:t>依据</w:t>
            </w:r>
            <w:r>
              <w:rPr>
                <w:rFonts w:hint="eastAsia" w:ascii="宋体" w:hAnsi="宋体" w:eastAsia="宋体" w:cs="宋体"/>
                <w:color w:val="auto"/>
                <w:sz w:val="21"/>
                <w:szCs w:val="21"/>
                <w:highlight w:val="none"/>
                <w:lang w:val="en-US" w:eastAsia="zh-CN"/>
              </w:rPr>
              <w:t>预算金额</w:t>
            </w:r>
            <w:r>
              <w:rPr>
                <w:rFonts w:hint="eastAsia" w:ascii="宋体" w:hAnsi="宋体" w:eastAsia="宋体" w:cs="宋体"/>
                <w:color w:val="auto"/>
                <w:sz w:val="21"/>
                <w:szCs w:val="21"/>
                <w:highlight w:val="none"/>
              </w:rPr>
              <w:t>参照豫</w:t>
            </w:r>
            <w:r>
              <w:rPr>
                <w:rFonts w:hint="eastAsia" w:ascii="宋体" w:hAnsi="宋体" w:eastAsia="宋体" w:cs="宋体"/>
                <w:bCs/>
                <w:color w:val="auto"/>
                <w:sz w:val="21"/>
                <w:szCs w:val="21"/>
                <w:highlight w:val="none"/>
              </w:rPr>
              <w:t>招协[2023]002号《河南省招标代理服务收费指导意见》中的标准向中标人收取,</w:t>
            </w:r>
            <w:r>
              <w:rPr>
                <w:rFonts w:hint="eastAsia" w:ascii="宋体" w:hAnsi="宋体" w:eastAsia="宋体" w:cs="宋体"/>
                <w:bCs/>
                <w:color w:val="auto"/>
                <w:sz w:val="21"/>
                <w:szCs w:val="21"/>
                <w:highlight w:val="none"/>
                <w:lang w:val="en-US" w:eastAsia="zh-CN"/>
              </w:rPr>
              <w:t>由</w:t>
            </w:r>
            <w:r>
              <w:rPr>
                <w:rFonts w:hint="eastAsia" w:ascii="宋体" w:hAnsi="宋体" w:eastAsia="宋体" w:cs="宋体"/>
                <w:bCs/>
                <w:color w:val="auto"/>
                <w:sz w:val="21"/>
                <w:szCs w:val="21"/>
                <w:highlight w:val="none"/>
              </w:rPr>
              <w:t>中标人在领取中标通知书前向代理机构足额缴纳。</w:t>
            </w:r>
          </w:p>
        </w:tc>
      </w:tr>
      <w:tr w14:paraId="48CB3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vAlign w:val="center"/>
          </w:tcPr>
          <w:p w14:paraId="31D1B4AE">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10.7</w:t>
            </w:r>
          </w:p>
        </w:tc>
        <w:tc>
          <w:tcPr>
            <w:tcW w:w="1927" w:type="dxa"/>
            <w:shd w:val="clear" w:color="auto" w:fill="auto"/>
            <w:vAlign w:val="center"/>
          </w:tcPr>
          <w:p w14:paraId="7CF1CDD1">
            <w:pPr>
              <w:keepNext w:val="0"/>
              <w:keepLines w:val="0"/>
              <w:pageBreakBefore w:val="0"/>
              <w:kinsoku/>
              <w:wordWrap/>
              <w:overflowPunct/>
              <w:topLinePunct w:val="0"/>
              <w:bidi w:val="0"/>
              <w:adjustRightInd w:val="0"/>
              <w:snapToGrid w:val="0"/>
              <w:spacing w:line="440" w:lineRule="exact"/>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认定为不响应招标文件的其它条件</w:t>
            </w:r>
          </w:p>
        </w:tc>
        <w:tc>
          <w:tcPr>
            <w:tcW w:w="6445" w:type="dxa"/>
            <w:shd w:val="clear" w:color="auto" w:fill="auto"/>
            <w:vAlign w:val="center"/>
          </w:tcPr>
          <w:p w14:paraId="2998C760">
            <w:pPr>
              <w:pStyle w:val="27"/>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1、未按招标文件明示的规定签字盖章的；</w:t>
            </w:r>
          </w:p>
          <w:p w14:paraId="6DD4B52C">
            <w:pPr>
              <w:pStyle w:val="27"/>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2、投标文件的关键内容（投标报价、合同履行期限（供货及安装期）、质量标准</w:t>
            </w: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lang w:val="en-US" w:eastAsia="zh-CN"/>
              </w:rPr>
              <w:t>品牌、型号、投标有效期</w:t>
            </w:r>
            <w:r>
              <w:rPr>
                <w:rFonts w:hint="eastAsia" w:ascii="宋体" w:hAnsi="宋体" w:eastAsia="宋体" w:cs="宋体"/>
                <w:bCs/>
                <w:color w:val="auto"/>
                <w:sz w:val="21"/>
                <w:szCs w:val="21"/>
                <w:highlight w:val="none"/>
              </w:rPr>
              <w:t>等）未填写或填写字迹模糊、达不到采购要求的；</w:t>
            </w:r>
          </w:p>
          <w:p w14:paraId="7E2391A9">
            <w:pPr>
              <w:pStyle w:val="27"/>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3、投标报价超出招标</w:t>
            </w:r>
            <w:r>
              <w:rPr>
                <w:rFonts w:hint="eastAsia" w:ascii="宋体" w:hAnsi="宋体" w:eastAsia="宋体" w:cs="宋体"/>
                <w:bCs/>
                <w:color w:val="auto"/>
                <w:sz w:val="21"/>
                <w:szCs w:val="21"/>
                <w:highlight w:val="none"/>
                <w:lang w:eastAsia="zh-CN"/>
              </w:rPr>
              <w:t>最高限价</w:t>
            </w:r>
            <w:r>
              <w:rPr>
                <w:rFonts w:hint="eastAsia" w:ascii="宋体" w:hAnsi="宋体" w:eastAsia="宋体" w:cs="宋体"/>
                <w:bCs/>
                <w:color w:val="auto"/>
                <w:sz w:val="21"/>
                <w:szCs w:val="21"/>
                <w:highlight w:val="none"/>
              </w:rPr>
              <w:t>的；</w:t>
            </w:r>
          </w:p>
          <w:p w14:paraId="3C5E65A5">
            <w:pPr>
              <w:pStyle w:val="27"/>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4、供应商递交两份或多份内容不同的投标文件，或在一份投标文件中对同一招标项目有两个或多个报价，且未声明哪一个有效的；</w:t>
            </w:r>
          </w:p>
          <w:p w14:paraId="755DB44D">
            <w:pPr>
              <w:pStyle w:val="27"/>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5、相关资格证明文件不合格的；</w:t>
            </w:r>
          </w:p>
          <w:p w14:paraId="5BF06EB3">
            <w:pPr>
              <w:pStyle w:val="27"/>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6、未按要求填写报价明细表的。</w:t>
            </w:r>
          </w:p>
          <w:p w14:paraId="64C88A7A">
            <w:pPr>
              <w:pStyle w:val="27"/>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7、附有采购人不能接受的条件的；</w:t>
            </w:r>
          </w:p>
          <w:p w14:paraId="16A12162">
            <w:pPr>
              <w:pStyle w:val="27"/>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8、评标过程中，如因两个或两个以上投标人在同一台计算或同一个IP上传响应文件，而被不见面开标系统提示为“投标文件制作机器码一致”的，则视其投标无效。</w:t>
            </w:r>
          </w:p>
          <w:p w14:paraId="079431FC">
            <w:pPr>
              <w:pStyle w:val="27"/>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9、投标文件有明显不符合招标文件其它要求和有关法律法规的。</w:t>
            </w:r>
          </w:p>
        </w:tc>
      </w:tr>
      <w:tr w14:paraId="0593E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990" w:type="dxa"/>
            <w:vAlign w:val="center"/>
          </w:tcPr>
          <w:p w14:paraId="6F0248B4">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10.8</w:t>
            </w:r>
          </w:p>
        </w:tc>
        <w:tc>
          <w:tcPr>
            <w:tcW w:w="8372" w:type="dxa"/>
            <w:gridSpan w:val="2"/>
            <w:vAlign w:val="center"/>
          </w:tcPr>
          <w:p w14:paraId="78F66C71">
            <w:pPr>
              <w:pStyle w:val="27"/>
              <w:keepNext w:val="0"/>
              <w:keepLines w:val="0"/>
              <w:pageBreakBefore w:val="0"/>
              <w:tabs>
                <w:tab w:val="left" w:pos="1268"/>
              </w:tabs>
              <w:kinsoku/>
              <w:wordWrap/>
              <w:overflowPunct/>
              <w:topLinePunct w:val="0"/>
              <w:bidi w:val="0"/>
              <w:spacing w:line="440" w:lineRule="exact"/>
              <w:ind w:firstLine="0" w:firstLineChars="0"/>
              <w:textAlignment w:val="auto"/>
              <w:rPr>
                <w:rFonts w:hint="eastAsia" w:ascii="宋体" w:hAnsi="宋体" w:eastAsia="宋体" w:cs="宋体"/>
                <w:bCs/>
                <w:color w:val="auto"/>
                <w:sz w:val="21"/>
                <w:szCs w:val="21"/>
                <w:highlight w:val="none"/>
                <w:lang w:eastAsia="zh-CN"/>
              </w:rPr>
            </w:pPr>
            <w:r>
              <w:rPr>
                <w:rFonts w:hint="eastAsia" w:ascii="宋体" w:hAnsi="宋体" w:eastAsia="宋体" w:cs="宋体"/>
                <w:color w:val="auto"/>
                <w:sz w:val="21"/>
                <w:szCs w:val="21"/>
                <w:highlight w:val="none"/>
              </w:rPr>
              <w:t>本招标文件解释权归采购人</w:t>
            </w:r>
            <w:r>
              <w:rPr>
                <w:rFonts w:hint="eastAsia" w:ascii="宋体" w:hAnsi="宋体" w:eastAsia="宋体" w:cs="宋体"/>
                <w:color w:val="auto"/>
                <w:sz w:val="21"/>
                <w:szCs w:val="21"/>
                <w:highlight w:val="none"/>
                <w:lang w:eastAsia="zh-CN"/>
              </w:rPr>
              <w:t>。</w:t>
            </w:r>
          </w:p>
        </w:tc>
      </w:tr>
    </w:tbl>
    <w:p w14:paraId="254C5237">
      <w:pPr>
        <w:spacing w:line="360" w:lineRule="auto"/>
        <w:ind w:firstLine="420" w:firstLineChars="200"/>
        <w:rPr>
          <w:rFonts w:ascii="宋体" w:hAnsi="宋体" w:cs="宋体"/>
          <w:color w:val="auto"/>
          <w:szCs w:val="21"/>
          <w:highlight w:val="none"/>
        </w:rPr>
      </w:pPr>
      <w:bookmarkStart w:id="12" w:name="_Toc426369479"/>
      <w:bookmarkStart w:id="13" w:name="_Toc23576"/>
      <w:bookmarkStart w:id="14" w:name="_Toc403122491"/>
      <w:bookmarkStart w:id="15" w:name="_Toc9048"/>
      <w:bookmarkStart w:id="16" w:name="_Toc23082"/>
      <w:bookmarkStart w:id="17" w:name="_Toc426369491"/>
      <w:bookmarkStart w:id="18" w:name="_Toc26894"/>
      <w:bookmarkStart w:id="19" w:name="_Toc403122503"/>
      <w:r>
        <w:rPr>
          <w:rFonts w:hint="eastAsia" w:ascii="宋体" w:hAnsi="宋体" w:cs="宋体"/>
          <w:color w:val="auto"/>
          <w:szCs w:val="21"/>
          <w:highlight w:val="none"/>
        </w:rPr>
        <w:br w:type="page"/>
      </w:r>
    </w:p>
    <w:p w14:paraId="773B74F9">
      <w:pPr>
        <w:pStyle w:val="24"/>
        <w:spacing w:before="0" w:after="0" w:line="360" w:lineRule="auto"/>
        <w:ind w:firstLine="422" w:firstLineChars="200"/>
        <w:jc w:val="both"/>
        <w:rPr>
          <w:rFonts w:ascii="宋体" w:hAnsi="宋体" w:eastAsia="宋体" w:cs="宋体"/>
          <w:color w:val="auto"/>
          <w:sz w:val="21"/>
          <w:szCs w:val="21"/>
          <w:highlight w:val="none"/>
        </w:rPr>
      </w:pPr>
      <w:bookmarkStart w:id="20" w:name="_Toc2462"/>
      <w:bookmarkStart w:id="21" w:name="_Toc26329"/>
      <w:r>
        <w:rPr>
          <w:rFonts w:hint="eastAsia" w:ascii="宋体" w:hAnsi="宋体" w:eastAsia="宋体" w:cs="宋体"/>
          <w:color w:val="auto"/>
          <w:sz w:val="21"/>
          <w:szCs w:val="21"/>
          <w:highlight w:val="none"/>
        </w:rPr>
        <w:t>1. 总则</w:t>
      </w:r>
      <w:bookmarkEnd w:id="12"/>
      <w:bookmarkEnd w:id="13"/>
      <w:bookmarkEnd w:id="14"/>
      <w:bookmarkEnd w:id="15"/>
      <w:bookmarkEnd w:id="16"/>
      <w:bookmarkEnd w:id="20"/>
      <w:bookmarkEnd w:id="21"/>
    </w:p>
    <w:p w14:paraId="1B921228">
      <w:pPr>
        <w:spacing w:line="360" w:lineRule="auto"/>
        <w:ind w:firstLine="422" w:firstLineChars="200"/>
        <w:rPr>
          <w:rFonts w:ascii="宋体" w:hAnsi="宋体" w:cs="宋体"/>
          <w:b/>
          <w:bCs/>
          <w:color w:val="auto"/>
          <w:szCs w:val="21"/>
          <w:highlight w:val="none"/>
        </w:rPr>
      </w:pPr>
      <w:bookmarkStart w:id="22" w:name="_Toc274249575"/>
      <w:bookmarkStart w:id="23" w:name="_Toc279599771"/>
      <w:bookmarkStart w:id="24" w:name="_Toc403122492"/>
      <w:bookmarkStart w:id="25" w:name="_Toc426369480"/>
      <w:r>
        <w:rPr>
          <w:rFonts w:hint="eastAsia" w:ascii="宋体" w:hAnsi="宋体" w:cs="宋体"/>
          <w:b/>
          <w:bCs/>
          <w:color w:val="auto"/>
          <w:szCs w:val="21"/>
          <w:highlight w:val="none"/>
        </w:rPr>
        <w:t>1.1 项目概况</w:t>
      </w:r>
      <w:bookmarkEnd w:id="22"/>
      <w:bookmarkEnd w:id="23"/>
      <w:bookmarkEnd w:id="24"/>
      <w:bookmarkEnd w:id="25"/>
    </w:p>
    <w:p w14:paraId="72FB7B7F">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1.1.1 根据</w:t>
      </w:r>
      <w:r>
        <w:rPr>
          <w:rFonts w:hint="eastAsia" w:ascii="宋体" w:hAnsi="宋体" w:cs="宋体"/>
          <w:bCs/>
          <w:color w:val="auto"/>
          <w:szCs w:val="21"/>
          <w:highlight w:val="none"/>
        </w:rPr>
        <w:t>《中华人民共和国政府采购法》</w:t>
      </w:r>
      <w:r>
        <w:rPr>
          <w:rFonts w:hint="eastAsia" w:ascii="宋体" w:hAnsi="宋体" w:cs="宋体"/>
          <w:color w:val="auto"/>
          <w:szCs w:val="21"/>
          <w:highlight w:val="none"/>
        </w:rPr>
        <w:t xml:space="preserve">等有关法律、法规和规章的规定，本招标项目已具备招标条件，现对本招标项目进行公开招标。 </w:t>
      </w:r>
    </w:p>
    <w:p w14:paraId="220E989E">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1.1.2  本招标项目采购人：见供应商须知前附表。 </w:t>
      </w:r>
    </w:p>
    <w:p w14:paraId="5C7341FB">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1.1.3  本招标项目采购代理机构：见供应商须知前附表。 </w:t>
      </w:r>
    </w:p>
    <w:p w14:paraId="6E972B49">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1.1.4  本招标项目名称：见供应商须知前附表。 </w:t>
      </w:r>
    </w:p>
    <w:p w14:paraId="78626A3F">
      <w:pPr>
        <w:spacing w:line="360" w:lineRule="auto"/>
        <w:ind w:firstLine="422" w:firstLineChars="200"/>
        <w:rPr>
          <w:rFonts w:ascii="宋体" w:hAnsi="宋体" w:cs="宋体"/>
          <w:b/>
          <w:bCs/>
          <w:color w:val="auto"/>
          <w:szCs w:val="21"/>
          <w:highlight w:val="none"/>
        </w:rPr>
      </w:pPr>
      <w:bookmarkStart w:id="26" w:name="_Toc279599772"/>
      <w:bookmarkStart w:id="27" w:name="_Toc274249576"/>
      <w:bookmarkStart w:id="28" w:name="_Toc403122493"/>
      <w:bookmarkStart w:id="29" w:name="_Toc426369481"/>
      <w:r>
        <w:rPr>
          <w:rFonts w:hint="eastAsia" w:ascii="宋体" w:hAnsi="宋体" w:cs="宋体"/>
          <w:b/>
          <w:bCs/>
          <w:color w:val="auto"/>
          <w:szCs w:val="21"/>
          <w:highlight w:val="none"/>
        </w:rPr>
        <w:t>1.2 资金来源和落实情况</w:t>
      </w:r>
      <w:bookmarkEnd w:id="26"/>
      <w:bookmarkEnd w:id="27"/>
      <w:bookmarkEnd w:id="28"/>
      <w:bookmarkEnd w:id="29"/>
    </w:p>
    <w:p w14:paraId="75ECEB8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1.2.1  本招标项目的资金来源：见供应商须知前附表。 </w:t>
      </w:r>
    </w:p>
    <w:p w14:paraId="32233628">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1.2.2  本招标项目的资金落实情况：见供应商须知前附表。 </w:t>
      </w:r>
    </w:p>
    <w:p w14:paraId="1DADE928">
      <w:pPr>
        <w:spacing w:line="360" w:lineRule="auto"/>
        <w:ind w:firstLine="422" w:firstLineChars="200"/>
        <w:rPr>
          <w:rFonts w:ascii="宋体" w:hAnsi="宋体" w:cs="宋体"/>
          <w:b/>
          <w:bCs/>
          <w:color w:val="auto"/>
          <w:szCs w:val="21"/>
          <w:highlight w:val="none"/>
        </w:rPr>
      </w:pPr>
      <w:bookmarkStart w:id="30" w:name="_Toc426369482"/>
      <w:bookmarkStart w:id="31" w:name="_Toc279599773"/>
      <w:bookmarkStart w:id="32" w:name="_Toc403122494"/>
      <w:bookmarkStart w:id="33" w:name="_Toc274249577"/>
      <w:r>
        <w:rPr>
          <w:rFonts w:hint="eastAsia" w:ascii="宋体" w:hAnsi="宋体" w:cs="宋体"/>
          <w:b/>
          <w:bCs/>
          <w:color w:val="auto"/>
          <w:szCs w:val="21"/>
          <w:highlight w:val="none"/>
        </w:rPr>
        <w:t>1.3 采购内容、合同履行期限和质量</w:t>
      </w:r>
      <w:bookmarkEnd w:id="30"/>
      <w:bookmarkEnd w:id="31"/>
      <w:bookmarkEnd w:id="32"/>
      <w:bookmarkEnd w:id="33"/>
      <w:r>
        <w:rPr>
          <w:rFonts w:hint="eastAsia" w:ascii="宋体" w:hAnsi="宋体" w:cs="宋体"/>
          <w:b/>
          <w:bCs/>
          <w:color w:val="auto"/>
          <w:szCs w:val="21"/>
          <w:highlight w:val="none"/>
        </w:rPr>
        <w:t>标准</w:t>
      </w:r>
    </w:p>
    <w:p w14:paraId="02FF864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1.3.1  本次招标采购内容：见供应商须知前附表。 </w:t>
      </w:r>
    </w:p>
    <w:p w14:paraId="3C69F559">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1.3.2  本次招标的合同履行期限（供货及安装期）：见供应商须知前附表。 </w:t>
      </w:r>
    </w:p>
    <w:p w14:paraId="5399601B">
      <w:pPr>
        <w:tabs>
          <w:tab w:val="right" w:pos="9040"/>
        </w:tabs>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1.3.3  本次招标的质量要求：见供应商须知前附表。 </w:t>
      </w:r>
    </w:p>
    <w:p w14:paraId="1F361FF3">
      <w:pPr>
        <w:tabs>
          <w:tab w:val="right" w:pos="9040"/>
        </w:tabs>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1.3.4  本次招标的质保期要求：见供应商须知前附表。 </w:t>
      </w:r>
      <w:r>
        <w:rPr>
          <w:rFonts w:hint="eastAsia" w:ascii="宋体" w:hAnsi="宋体" w:cs="宋体"/>
          <w:color w:val="auto"/>
          <w:szCs w:val="21"/>
          <w:highlight w:val="none"/>
        </w:rPr>
        <w:tab/>
      </w:r>
    </w:p>
    <w:p w14:paraId="7B9D4104">
      <w:pPr>
        <w:spacing w:line="360" w:lineRule="auto"/>
        <w:ind w:firstLine="422" w:firstLineChars="200"/>
        <w:rPr>
          <w:rFonts w:ascii="宋体" w:hAnsi="宋体" w:cs="宋体"/>
          <w:b/>
          <w:bCs/>
          <w:color w:val="auto"/>
          <w:szCs w:val="21"/>
          <w:highlight w:val="none"/>
        </w:rPr>
      </w:pPr>
      <w:bookmarkStart w:id="34" w:name="_Toc274249578"/>
      <w:bookmarkStart w:id="35" w:name="_Toc279599774"/>
      <w:bookmarkStart w:id="36" w:name="_Toc426369483"/>
      <w:bookmarkStart w:id="37" w:name="_Toc403122495"/>
      <w:r>
        <w:rPr>
          <w:rFonts w:hint="eastAsia" w:ascii="宋体" w:hAnsi="宋体" w:cs="宋体"/>
          <w:b/>
          <w:bCs/>
          <w:color w:val="auto"/>
          <w:szCs w:val="21"/>
          <w:highlight w:val="none"/>
        </w:rPr>
        <w:t>1.4 供应商资格要求</w:t>
      </w:r>
      <w:bookmarkEnd w:id="34"/>
      <w:bookmarkEnd w:id="35"/>
      <w:bookmarkEnd w:id="36"/>
      <w:bookmarkEnd w:id="37"/>
    </w:p>
    <w:p w14:paraId="3B1D75CE">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1.4.1 供应商应具备承担本招标项目的资格条件。 </w:t>
      </w:r>
    </w:p>
    <w:p w14:paraId="7B5219FE">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（1）供应商资格条件：见供应商须知前附表； </w:t>
      </w:r>
    </w:p>
    <w:p w14:paraId="08AA84B0">
      <w:pPr>
        <w:spacing w:line="360" w:lineRule="auto"/>
        <w:ind w:firstLine="420" w:firstLineChars="200"/>
        <w:rPr>
          <w:rFonts w:ascii="宋体" w:hAnsi="宋体" w:cs="宋体"/>
          <w:color w:val="auto"/>
          <w:szCs w:val="21"/>
          <w:highlight w:val="none"/>
        </w:rPr>
      </w:pPr>
      <w:bookmarkStart w:id="38" w:name="_Toc403122496"/>
      <w:bookmarkStart w:id="39" w:name="_Toc274249579"/>
      <w:bookmarkStart w:id="40" w:name="_Toc279599775"/>
      <w:r>
        <w:rPr>
          <w:rFonts w:hint="eastAsia" w:ascii="宋体" w:hAnsi="宋体" w:cs="宋体"/>
          <w:color w:val="auto"/>
          <w:szCs w:val="21"/>
          <w:highlight w:val="none"/>
        </w:rPr>
        <w:t>1.4.2 本次招标不接受联合体投标。</w:t>
      </w:r>
    </w:p>
    <w:p w14:paraId="62E4D71D">
      <w:pPr>
        <w:spacing w:line="360" w:lineRule="auto"/>
        <w:ind w:firstLine="422" w:firstLineChars="200"/>
        <w:rPr>
          <w:rFonts w:ascii="宋体" w:hAnsi="宋体" w:cs="宋体"/>
          <w:b/>
          <w:bCs/>
          <w:color w:val="auto"/>
          <w:szCs w:val="21"/>
          <w:highlight w:val="none"/>
        </w:rPr>
      </w:pPr>
      <w:bookmarkStart w:id="41" w:name="_Toc426369484"/>
      <w:r>
        <w:rPr>
          <w:rFonts w:hint="eastAsia" w:ascii="宋体" w:hAnsi="宋体" w:cs="宋体"/>
          <w:b/>
          <w:bCs/>
          <w:color w:val="auto"/>
          <w:szCs w:val="21"/>
          <w:highlight w:val="none"/>
        </w:rPr>
        <w:t>1.5 费用承担</w:t>
      </w:r>
      <w:bookmarkEnd w:id="38"/>
      <w:bookmarkEnd w:id="39"/>
      <w:bookmarkEnd w:id="40"/>
      <w:bookmarkEnd w:id="41"/>
    </w:p>
    <w:p w14:paraId="478A324A">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供应商准备和参加投标活动发生的费用自理。 </w:t>
      </w:r>
    </w:p>
    <w:p w14:paraId="037B0C72">
      <w:pPr>
        <w:spacing w:line="360" w:lineRule="auto"/>
        <w:ind w:firstLine="422" w:firstLineChars="200"/>
        <w:rPr>
          <w:rFonts w:ascii="宋体" w:hAnsi="宋体" w:cs="宋体"/>
          <w:b/>
          <w:bCs/>
          <w:color w:val="auto"/>
          <w:szCs w:val="21"/>
          <w:highlight w:val="none"/>
        </w:rPr>
      </w:pPr>
      <w:bookmarkStart w:id="42" w:name="_Toc403122497"/>
      <w:bookmarkStart w:id="43" w:name="_Toc426369485"/>
      <w:r>
        <w:rPr>
          <w:rFonts w:hint="eastAsia" w:ascii="宋体" w:hAnsi="宋体" w:cs="宋体"/>
          <w:b/>
          <w:bCs/>
          <w:color w:val="auto"/>
          <w:szCs w:val="21"/>
          <w:highlight w:val="none"/>
        </w:rPr>
        <w:t>1.6 保密</w:t>
      </w:r>
      <w:bookmarkEnd w:id="42"/>
      <w:bookmarkEnd w:id="43"/>
    </w:p>
    <w:p w14:paraId="75C37786">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参与招标投标活动的各方应对招标文件和投标文件中的商业和技术等秘密保密，违者应对由此造成的后果承担法律责任。</w:t>
      </w:r>
    </w:p>
    <w:p w14:paraId="378E2741">
      <w:pPr>
        <w:spacing w:line="360" w:lineRule="auto"/>
        <w:ind w:firstLine="422" w:firstLineChars="200"/>
        <w:rPr>
          <w:rFonts w:ascii="宋体" w:hAnsi="宋体" w:cs="宋体"/>
          <w:b/>
          <w:bCs/>
          <w:color w:val="auto"/>
          <w:szCs w:val="21"/>
          <w:highlight w:val="none"/>
        </w:rPr>
      </w:pPr>
      <w:bookmarkStart w:id="44" w:name="_Toc279599777"/>
      <w:bookmarkStart w:id="45" w:name="_Toc403122498"/>
      <w:bookmarkStart w:id="46" w:name="_Toc274249581"/>
      <w:bookmarkStart w:id="47" w:name="_Toc426369486"/>
      <w:r>
        <w:rPr>
          <w:rFonts w:hint="eastAsia" w:ascii="宋体" w:hAnsi="宋体" w:cs="宋体"/>
          <w:b/>
          <w:bCs/>
          <w:color w:val="auto"/>
          <w:szCs w:val="21"/>
          <w:highlight w:val="none"/>
        </w:rPr>
        <w:t>1.7 语言文字</w:t>
      </w:r>
      <w:bookmarkEnd w:id="44"/>
      <w:bookmarkEnd w:id="45"/>
      <w:bookmarkEnd w:id="46"/>
      <w:bookmarkEnd w:id="47"/>
      <w:r>
        <w:rPr>
          <w:rFonts w:hint="eastAsia" w:ascii="宋体" w:hAnsi="宋体" w:cs="宋体"/>
          <w:b/>
          <w:bCs/>
          <w:color w:val="auto"/>
          <w:szCs w:val="21"/>
          <w:highlight w:val="none"/>
        </w:rPr>
        <w:t xml:space="preserve"> </w:t>
      </w:r>
    </w:p>
    <w:p w14:paraId="10C55649">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1.7.1 采购文件以及投标人与采购人、采购代理机构就有关投标事宜的所有来往函电均应使用简体中文书写。</w:t>
      </w:r>
    </w:p>
    <w:p w14:paraId="187BF9B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1.7.2原版为外文的证书类文件，以及由外国人做出的本人签名、外国公司的名称或外国印章等可以是外文，但应当提供中文翻译文件并加盖投标人公章。必要时评标委员会可以要求投标人提供附有公证书的中文翻译文件或者与原版文件签章相一致的中文翻译文件</w:t>
      </w:r>
      <w:bookmarkStart w:id="48" w:name="_Toc403122499"/>
      <w:bookmarkStart w:id="49" w:name="_Toc426369487"/>
    </w:p>
    <w:p w14:paraId="7802D93E">
      <w:pPr>
        <w:spacing w:line="360" w:lineRule="auto"/>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1.8 计量单位</w:t>
      </w:r>
      <w:bookmarkEnd w:id="48"/>
      <w:bookmarkEnd w:id="49"/>
    </w:p>
    <w:p w14:paraId="48528705">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1.8.1关于投标计量单位，采购文件已有明确规定的，使用采购文件规定的计量单位；采购文件没有规定的，应采用中华人民共和国法定计量单位。 </w:t>
      </w:r>
    </w:p>
    <w:p w14:paraId="614CC8C5">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1.8.2本响应性文件所表述的时间均为北京时间。</w:t>
      </w:r>
    </w:p>
    <w:p w14:paraId="58A06C03">
      <w:pPr>
        <w:spacing w:line="360" w:lineRule="auto"/>
        <w:ind w:firstLine="422" w:firstLineChars="200"/>
        <w:rPr>
          <w:rFonts w:ascii="宋体" w:hAnsi="宋体" w:cs="宋体"/>
          <w:b/>
          <w:bCs/>
          <w:color w:val="auto"/>
          <w:szCs w:val="21"/>
          <w:highlight w:val="none"/>
        </w:rPr>
      </w:pPr>
      <w:bookmarkStart w:id="50" w:name="_Toc403122500"/>
      <w:bookmarkStart w:id="51" w:name="_Toc426369488"/>
      <w:bookmarkStart w:id="52" w:name="_Toc279599779"/>
      <w:bookmarkStart w:id="53" w:name="_Toc274249583"/>
      <w:r>
        <w:rPr>
          <w:rFonts w:hint="eastAsia" w:ascii="宋体" w:hAnsi="宋体" w:cs="宋体"/>
          <w:b/>
          <w:bCs/>
          <w:color w:val="auto"/>
          <w:szCs w:val="21"/>
          <w:highlight w:val="none"/>
        </w:rPr>
        <w:t>1.9 踏勘现场</w:t>
      </w:r>
      <w:bookmarkEnd w:id="50"/>
      <w:bookmarkEnd w:id="51"/>
      <w:bookmarkEnd w:id="52"/>
      <w:bookmarkEnd w:id="53"/>
    </w:p>
    <w:p w14:paraId="74D6C872">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1.9.1  由于项目特殊性，本次招标需供应商自行勘查。 </w:t>
      </w:r>
    </w:p>
    <w:p w14:paraId="4B02376C">
      <w:pPr>
        <w:spacing w:line="360" w:lineRule="auto"/>
        <w:ind w:firstLine="422" w:firstLineChars="200"/>
        <w:rPr>
          <w:rFonts w:ascii="宋体" w:hAnsi="宋体" w:cs="宋体"/>
          <w:b/>
          <w:bCs/>
          <w:color w:val="auto"/>
          <w:szCs w:val="21"/>
          <w:highlight w:val="none"/>
        </w:rPr>
      </w:pPr>
      <w:bookmarkStart w:id="54" w:name="_Toc274249584"/>
      <w:bookmarkStart w:id="55" w:name="_Toc279599780"/>
      <w:bookmarkStart w:id="56" w:name="_Toc426369489"/>
      <w:bookmarkStart w:id="57" w:name="_Toc403122501"/>
      <w:r>
        <w:rPr>
          <w:rFonts w:hint="eastAsia" w:ascii="宋体" w:hAnsi="宋体" w:cs="宋体"/>
          <w:b/>
          <w:bCs/>
          <w:color w:val="auto"/>
          <w:szCs w:val="21"/>
          <w:highlight w:val="none"/>
        </w:rPr>
        <w:t>1.10 投标预备会</w:t>
      </w:r>
      <w:bookmarkEnd w:id="54"/>
      <w:bookmarkEnd w:id="55"/>
      <w:bookmarkEnd w:id="56"/>
      <w:bookmarkEnd w:id="57"/>
    </w:p>
    <w:p w14:paraId="6E2095FF">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1.10.1 本次招标不召开投标预备会。 </w:t>
      </w:r>
    </w:p>
    <w:p w14:paraId="2B5E2036">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1.10.2 供应商应在供应商须知前附表规定的时间前，以书面形式将提出的问题送达招标代理人。 </w:t>
      </w:r>
    </w:p>
    <w:p w14:paraId="5058E866">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1.10.3 采购人在供应商须知前附表规定的时间内，将对供应商所提问题的澄清，以书面方式通知所有已领取招标文件的供应商。该澄清内容为招标文件的组成部分。 </w:t>
      </w:r>
    </w:p>
    <w:p w14:paraId="4A7ECFFF">
      <w:pPr>
        <w:spacing w:line="360" w:lineRule="auto"/>
        <w:ind w:firstLine="422" w:firstLineChars="200"/>
        <w:rPr>
          <w:rFonts w:ascii="宋体" w:hAnsi="宋体" w:cs="宋体"/>
          <w:b/>
          <w:bCs/>
          <w:color w:val="auto"/>
          <w:szCs w:val="21"/>
          <w:highlight w:val="none"/>
        </w:rPr>
      </w:pPr>
      <w:bookmarkStart w:id="58" w:name="_Toc274249585"/>
      <w:bookmarkStart w:id="59" w:name="_Toc403122502"/>
      <w:bookmarkStart w:id="60" w:name="_Toc426369490"/>
      <w:bookmarkStart w:id="61" w:name="_Toc279599781"/>
      <w:r>
        <w:rPr>
          <w:rFonts w:hint="eastAsia" w:ascii="宋体" w:hAnsi="宋体" w:cs="宋体"/>
          <w:b/>
          <w:bCs/>
          <w:color w:val="auto"/>
          <w:szCs w:val="21"/>
          <w:highlight w:val="none"/>
        </w:rPr>
        <w:t>1.11 分包</w:t>
      </w:r>
      <w:bookmarkEnd w:id="58"/>
      <w:bookmarkEnd w:id="59"/>
      <w:bookmarkEnd w:id="60"/>
      <w:bookmarkEnd w:id="61"/>
    </w:p>
    <w:p w14:paraId="464AC6E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本次招标项目不允许分包。 </w:t>
      </w:r>
    </w:p>
    <w:p w14:paraId="7F414A95">
      <w:pPr>
        <w:spacing w:line="360" w:lineRule="auto"/>
        <w:ind w:firstLine="422" w:firstLineChars="200"/>
        <w:rPr>
          <w:rFonts w:ascii="宋体" w:hAnsi="宋体" w:cs="宋体"/>
          <w:b/>
          <w:bCs/>
          <w:color w:val="auto"/>
          <w:szCs w:val="21"/>
          <w:highlight w:val="none"/>
        </w:rPr>
      </w:pPr>
      <w:bookmarkStart w:id="62" w:name="_Toc28663"/>
      <w:bookmarkStart w:id="63" w:name="_Toc730"/>
      <w:bookmarkStart w:id="64" w:name="_Toc9121"/>
      <w:bookmarkStart w:id="65" w:name="_Toc22882"/>
      <w:r>
        <w:rPr>
          <w:rFonts w:hint="eastAsia" w:ascii="宋体" w:hAnsi="宋体" w:cs="宋体"/>
          <w:b/>
          <w:bCs/>
          <w:color w:val="auto"/>
          <w:szCs w:val="21"/>
          <w:highlight w:val="none"/>
        </w:rPr>
        <w:t>2. 招标文件</w:t>
      </w:r>
      <w:bookmarkEnd w:id="17"/>
      <w:bookmarkEnd w:id="18"/>
      <w:bookmarkEnd w:id="19"/>
      <w:bookmarkEnd w:id="62"/>
      <w:bookmarkEnd w:id="63"/>
      <w:bookmarkEnd w:id="64"/>
      <w:bookmarkEnd w:id="65"/>
    </w:p>
    <w:p w14:paraId="671680DC">
      <w:pPr>
        <w:spacing w:line="360" w:lineRule="auto"/>
        <w:ind w:firstLine="422" w:firstLineChars="200"/>
        <w:rPr>
          <w:rFonts w:ascii="宋体" w:hAnsi="宋体" w:cs="宋体"/>
          <w:b/>
          <w:bCs/>
          <w:color w:val="auto"/>
          <w:szCs w:val="21"/>
          <w:highlight w:val="none"/>
        </w:rPr>
      </w:pPr>
      <w:bookmarkStart w:id="66" w:name="_Toc403122504"/>
      <w:bookmarkStart w:id="67" w:name="_Toc274249587"/>
      <w:bookmarkStart w:id="68" w:name="_Toc426369492"/>
      <w:bookmarkStart w:id="69" w:name="_Toc279599783"/>
      <w:r>
        <w:rPr>
          <w:rFonts w:hint="eastAsia" w:ascii="宋体" w:hAnsi="宋体" w:cs="宋体"/>
          <w:b/>
          <w:bCs/>
          <w:color w:val="auto"/>
          <w:szCs w:val="21"/>
          <w:highlight w:val="none"/>
        </w:rPr>
        <w:t>2.1 招标文件的组成</w:t>
      </w:r>
      <w:bookmarkEnd w:id="66"/>
      <w:bookmarkEnd w:id="67"/>
      <w:bookmarkEnd w:id="68"/>
      <w:bookmarkEnd w:id="69"/>
    </w:p>
    <w:p w14:paraId="3C5D905D">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本招标文件包括： </w:t>
      </w:r>
    </w:p>
    <w:p w14:paraId="43ABBB56">
      <w:pPr>
        <w:tabs>
          <w:tab w:val="left" w:pos="525"/>
          <w:tab w:val="left" w:pos="630"/>
        </w:tabs>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（1）招标公告；</w:t>
      </w:r>
    </w:p>
    <w:p w14:paraId="2855543F">
      <w:pPr>
        <w:tabs>
          <w:tab w:val="left" w:pos="525"/>
          <w:tab w:val="left" w:pos="630"/>
        </w:tabs>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（2）供应商须知； </w:t>
      </w:r>
    </w:p>
    <w:p w14:paraId="3201EB34">
      <w:pPr>
        <w:tabs>
          <w:tab w:val="left" w:pos="525"/>
          <w:tab w:val="left" w:pos="630"/>
        </w:tabs>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（3）评标办法（综合评分法）； </w:t>
      </w:r>
    </w:p>
    <w:p w14:paraId="197AFCAC">
      <w:pPr>
        <w:tabs>
          <w:tab w:val="left" w:pos="525"/>
          <w:tab w:val="left" w:pos="630"/>
        </w:tabs>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（4）合同条款及格式； </w:t>
      </w:r>
    </w:p>
    <w:p w14:paraId="1F37C3FE">
      <w:pPr>
        <w:tabs>
          <w:tab w:val="left" w:pos="525"/>
          <w:tab w:val="left" w:pos="630"/>
        </w:tabs>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xml:space="preserve">（5）采购内容及技术要求； </w:t>
      </w:r>
    </w:p>
    <w:p w14:paraId="0C5AA755">
      <w:pPr>
        <w:tabs>
          <w:tab w:val="left" w:pos="525"/>
          <w:tab w:val="left" w:pos="630"/>
        </w:tabs>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rPr>
        <w:t>（6）</w:t>
      </w:r>
      <w:r>
        <w:rPr>
          <w:rFonts w:hint="eastAsia" w:ascii="宋体" w:hAnsi="宋体" w:eastAsia="宋体" w:cs="宋体"/>
          <w:color w:val="auto"/>
          <w:szCs w:val="21"/>
          <w:highlight w:val="none"/>
          <w:lang w:val="en-US" w:eastAsia="zh-CN"/>
        </w:rPr>
        <w:t>质疑与投诉；</w:t>
      </w:r>
    </w:p>
    <w:p w14:paraId="3E02A705">
      <w:pPr>
        <w:tabs>
          <w:tab w:val="left" w:pos="525"/>
          <w:tab w:val="left" w:pos="630"/>
        </w:tabs>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w:t>
      </w:r>
      <w:r>
        <w:rPr>
          <w:rFonts w:hint="eastAsia" w:ascii="宋体" w:hAnsi="宋体" w:eastAsia="宋体" w:cs="宋体"/>
          <w:color w:val="auto"/>
          <w:szCs w:val="21"/>
          <w:highlight w:val="none"/>
          <w:lang w:val="en-US" w:eastAsia="zh-CN"/>
        </w:rPr>
        <w:t>履约验收；</w:t>
      </w:r>
    </w:p>
    <w:p w14:paraId="38261BE7">
      <w:pPr>
        <w:tabs>
          <w:tab w:val="left" w:pos="525"/>
          <w:tab w:val="left" w:pos="630"/>
        </w:tabs>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 xml:space="preserve">）投标文件格式； </w:t>
      </w:r>
    </w:p>
    <w:p w14:paraId="3FAED589">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根据本章第 1.10 款、第 2.2 款和第2.3款对招标文件所作的澄清、修改，构成招标文件的组成部分。 </w:t>
      </w:r>
    </w:p>
    <w:p w14:paraId="6444ECF3">
      <w:pPr>
        <w:spacing w:line="360" w:lineRule="auto"/>
        <w:ind w:firstLine="422" w:firstLineChars="200"/>
        <w:rPr>
          <w:rFonts w:ascii="宋体" w:hAnsi="宋体" w:cs="宋体"/>
          <w:b/>
          <w:bCs/>
          <w:color w:val="auto"/>
          <w:szCs w:val="21"/>
          <w:highlight w:val="none"/>
        </w:rPr>
      </w:pPr>
      <w:bookmarkStart w:id="70" w:name="_Toc426369493"/>
      <w:bookmarkStart w:id="71" w:name="_Toc403122505"/>
      <w:bookmarkStart w:id="72" w:name="_Toc274249588"/>
      <w:bookmarkStart w:id="73" w:name="_Toc279599784"/>
      <w:r>
        <w:rPr>
          <w:rFonts w:hint="eastAsia" w:ascii="宋体" w:hAnsi="宋体" w:cs="宋体"/>
          <w:b/>
          <w:bCs/>
          <w:color w:val="auto"/>
          <w:szCs w:val="21"/>
          <w:highlight w:val="none"/>
        </w:rPr>
        <w:t>2.2 招标文件的澄清</w:t>
      </w:r>
      <w:bookmarkEnd w:id="70"/>
      <w:bookmarkEnd w:id="71"/>
      <w:bookmarkEnd w:id="72"/>
      <w:bookmarkEnd w:id="73"/>
    </w:p>
    <w:p w14:paraId="4AD3BBEB">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2.2.1 供应商应仔细阅读和检查招标文件的全部内容。如发现缺页或附件不全，应及时向采购人提出，以便补齐。如有疑问，应在供应商须知前附表规定的时间前以书面形式，要求采购人对招标文件予以澄清。 </w:t>
      </w:r>
    </w:p>
    <w:p w14:paraId="78E8939E">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2.2.2 招标文件的澄清将在供应商须知前附表规定的投标截止时间15天前以书面形式发给所有购买招标文件的供应商，但不指明澄清问题的来源。如果澄清发出的时间距投标截止时间不足 15 天，相应延长投标截止时间。 </w:t>
      </w:r>
    </w:p>
    <w:p w14:paraId="7DA3DC5A">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2.2.3 供应商在收到澄清后，应在供应商须知前附表规定的时间内以书面形式通知采购人，确认已收到该澄清。 </w:t>
      </w:r>
    </w:p>
    <w:p w14:paraId="654EB006">
      <w:pPr>
        <w:spacing w:line="360" w:lineRule="auto"/>
        <w:ind w:firstLine="422" w:firstLineChars="200"/>
        <w:rPr>
          <w:rFonts w:ascii="宋体" w:hAnsi="宋体" w:cs="宋体"/>
          <w:b/>
          <w:bCs/>
          <w:color w:val="auto"/>
          <w:szCs w:val="21"/>
          <w:highlight w:val="none"/>
        </w:rPr>
      </w:pPr>
      <w:bookmarkStart w:id="74" w:name="_Toc426369494"/>
      <w:bookmarkStart w:id="75" w:name="_Toc403122506"/>
      <w:bookmarkStart w:id="76" w:name="_Toc274249589"/>
      <w:bookmarkStart w:id="77" w:name="_Toc279599785"/>
      <w:r>
        <w:rPr>
          <w:rFonts w:hint="eastAsia" w:ascii="宋体" w:hAnsi="宋体" w:cs="宋体"/>
          <w:b/>
          <w:bCs/>
          <w:color w:val="auto"/>
          <w:szCs w:val="21"/>
          <w:highlight w:val="none"/>
        </w:rPr>
        <w:t>2.3 招标文件的修改</w:t>
      </w:r>
      <w:bookmarkEnd w:id="74"/>
      <w:bookmarkEnd w:id="75"/>
      <w:bookmarkEnd w:id="76"/>
      <w:bookmarkEnd w:id="77"/>
    </w:p>
    <w:p w14:paraId="2CCF1CF9">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2.3.1  在投标截止时间 15天前，采购人可以书面形式修改招标文件，并通知所有已购买招标文件的供应商。如果修改招标文件的时间距投标截止时间不足 15 天，相应延长投标截止时间。  </w:t>
      </w:r>
    </w:p>
    <w:p w14:paraId="603F633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2.3.2  供应商收到修改内容后，应在供应商须知前附表规定的时间内以书面形式通知采购人，确认已收到该修改。 </w:t>
      </w:r>
      <w:bookmarkStart w:id="78" w:name="_Toc403122507"/>
      <w:bookmarkStart w:id="79" w:name="_Toc426369495"/>
      <w:bookmarkStart w:id="80" w:name="_Toc23265"/>
    </w:p>
    <w:p w14:paraId="46772BA2">
      <w:pPr>
        <w:spacing w:line="360" w:lineRule="auto"/>
        <w:ind w:firstLine="422" w:firstLineChars="200"/>
        <w:rPr>
          <w:rFonts w:ascii="宋体" w:hAnsi="宋体" w:cs="宋体"/>
          <w:b/>
          <w:bCs/>
          <w:color w:val="auto"/>
          <w:szCs w:val="21"/>
          <w:highlight w:val="none"/>
        </w:rPr>
      </w:pPr>
      <w:bookmarkStart w:id="81" w:name="_Toc18859"/>
      <w:bookmarkStart w:id="82" w:name="_Toc22914"/>
      <w:bookmarkStart w:id="83" w:name="_Toc8052"/>
      <w:bookmarkStart w:id="84" w:name="_Toc13865"/>
      <w:r>
        <w:rPr>
          <w:rFonts w:hint="eastAsia" w:ascii="宋体" w:hAnsi="宋体" w:cs="宋体"/>
          <w:b/>
          <w:bCs/>
          <w:color w:val="auto"/>
          <w:szCs w:val="21"/>
          <w:highlight w:val="none"/>
        </w:rPr>
        <w:t>3. 投标文件</w:t>
      </w:r>
      <w:bookmarkEnd w:id="78"/>
      <w:bookmarkEnd w:id="79"/>
      <w:bookmarkEnd w:id="80"/>
      <w:bookmarkEnd w:id="81"/>
      <w:bookmarkEnd w:id="82"/>
      <w:bookmarkEnd w:id="83"/>
      <w:bookmarkEnd w:id="84"/>
    </w:p>
    <w:p w14:paraId="2508F2AA">
      <w:pPr>
        <w:spacing w:line="360" w:lineRule="auto"/>
        <w:ind w:firstLine="422" w:firstLineChars="200"/>
        <w:rPr>
          <w:rFonts w:ascii="宋体" w:hAnsi="宋体" w:cs="宋体"/>
          <w:b/>
          <w:bCs/>
          <w:color w:val="auto"/>
          <w:szCs w:val="21"/>
          <w:highlight w:val="none"/>
        </w:rPr>
      </w:pPr>
      <w:bookmarkStart w:id="85" w:name="_Toc279599787"/>
      <w:bookmarkStart w:id="86" w:name="_Toc274249591"/>
      <w:bookmarkStart w:id="87" w:name="_Toc403122508"/>
      <w:bookmarkStart w:id="88" w:name="_Toc426369496"/>
      <w:r>
        <w:rPr>
          <w:rFonts w:hint="eastAsia" w:ascii="宋体" w:hAnsi="宋体" w:cs="宋体"/>
          <w:b/>
          <w:bCs/>
          <w:color w:val="auto"/>
          <w:szCs w:val="21"/>
          <w:highlight w:val="none"/>
        </w:rPr>
        <w:t>3.1 投标文件的组成</w:t>
      </w:r>
      <w:bookmarkEnd w:id="85"/>
      <w:bookmarkEnd w:id="86"/>
      <w:bookmarkEnd w:id="87"/>
      <w:bookmarkEnd w:id="88"/>
    </w:p>
    <w:p w14:paraId="5FB38101">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3.1.1 投标文件应包括下列内容： </w:t>
      </w:r>
    </w:p>
    <w:p w14:paraId="6FC3D520">
      <w:pPr>
        <w:spacing w:line="360" w:lineRule="auto"/>
        <w:ind w:firstLine="420" w:firstLineChars="200"/>
        <w:rPr>
          <w:rFonts w:ascii="宋体" w:hAnsi="宋体" w:cs="宋体"/>
          <w:color w:val="auto"/>
          <w:szCs w:val="21"/>
          <w:highlight w:val="none"/>
        </w:rPr>
      </w:pPr>
      <w:bookmarkStart w:id="89" w:name="_Toc274249592"/>
      <w:bookmarkStart w:id="90" w:name="_Toc426369497"/>
      <w:bookmarkStart w:id="91" w:name="_Toc403122509"/>
      <w:bookmarkStart w:id="92" w:name="_Toc279599788"/>
      <w:r>
        <w:rPr>
          <w:rFonts w:hint="eastAsia" w:ascii="宋体" w:hAnsi="宋体" w:cs="宋体"/>
          <w:color w:val="auto"/>
          <w:szCs w:val="21"/>
          <w:highlight w:val="none"/>
        </w:rPr>
        <w:t>一、投标函及开标一览表</w:t>
      </w:r>
    </w:p>
    <w:p w14:paraId="7A9F1D27">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（一）投标函</w:t>
      </w:r>
    </w:p>
    <w:p w14:paraId="7CEEC49E">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（二）开标一览表</w:t>
      </w:r>
    </w:p>
    <w:p w14:paraId="35AB1A69">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（三）报价明细表</w:t>
      </w:r>
    </w:p>
    <w:p w14:paraId="4A9AF033">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（四）技术偏离表</w:t>
      </w:r>
    </w:p>
    <w:p w14:paraId="475BC5D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二、法定代表人身份证明书</w:t>
      </w:r>
    </w:p>
    <w:p w14:paraId="72E80C3B">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三、授权委托书</w:t>
      </w:r>
    </w:p>
    <w:p w14:paraId="59A3509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四、项目实施方案等</w:t>
      </w:r>
    </w:p>
    <w:p w14:paraId="0DB3F9A0">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五、供应商的资格证明承诺函；</w:t>
      </w:r>
    </w:p>
    <w:p w14:paraId="2D82F1DB">
      <w:pPr>
        <w:pStyle w:val="26"/>
        <w:spacing w:line="360" w:lineRule="auto"/>
        <w:ind w:firstLineChars="200"/>
        <w:rPr>
          <w:rFonts w:hint="eastAsia" w:ascii="宋体" w:hAnsi="宋体" w:eastAsia="宋体" w:cs="宋体"/>
          <w:color w:val="auto"/>
          <w:sz w:val="21"/>
          <w:szCs w:val="21"/>
          <w:highlight w:val="none"/>
          <w:lang w:eastAsia="zh-CN"/>
        </w:rPr>
      </w:pPr>
      <w:r>
        <w:rPr>
          <w:rFonts w:ascii="宋体" w:hAnsi="宋体" w:eastAsia="宋体" w:cs="宋体"/>
          <w:color w:val="auto"/>
          <w:sz w:val="21"/>
          <w:szCs w:val="21"/>
          <w:highlight w:val="none"/>
        </w:rPr>
        <w:t>六、供应商服务承诺和优惠承诺</w:t>
      </w:r>
      <w:r>
        <w:rPr>
          <w:rFonts w:hint="eastAsia" w:ascii="宋体" w:hAnsi="宋体" w:eastAsia="宋体" w:cs="宋体"/>
          <w:color w:val="auto"/>
          <w:sz w:val="21"/>
          <w:szCs w:val="21"/>
          <w:highlight w:val="none"/>
          <w:lang w:eastAsia="zh-CN"/>
        </w:rPr>
        <w:t>；</w:t>
      </w:r>
    </w:p>
    <w:p w14:paraId="559C3C99">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七、供应商所投产品属于当期政府采购清单规定的节能环保产品的证明材料</w:t>
      </w:r>
      <w:r>
        <w:rPr>
          <w:rFonts w:hint="eastAsia" w:ascii="宋体" w:hAnsi="宋体" w:cs="宋体"/>
          <w:color w:val="auto"/>
          <w:szCs w:val="21"/>
          <w:highlight w:val="none"/>
          <w:lang w:val="en-US" w:eastAsia="zh-CN"/>
        </w:rPr>
        <w:t>(如有)</w:t>
      </w:r>
      <w:r>
        <w:rPr>
          <w:rFonts w:hint="eastAsia" w:ascii="宋体" w:hAnsi="宋体" w:cs="宋体"/>
          <w:color w:val="auto"/>
          <w:szCs w:val="21"/>
          <w:highlight w:val="none"/>
        </w:rPr>
        <w:t>；</w:t>
      </w:r>
    </w:p>
    <w:p w14:paraId="0F3248D8">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八、中小企业声明函（如有）；</w:t>
      </w:r>
    </w:p>
    <w:p w14:paraId="7D600428">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九、残疾人福利性单位声明函（如有）；</w:t>
      </w:r>
    </w:p>
    <w:p w14:paraId="6DFA33AB">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十、招标文件要求的或投标人认为需要加以说明的其他内容。</w:t>
      </w:r>
    </w:p>
    <w:p w14:paraId="6D6CBA7D">
      <w:pPr>
        <w:widowControl/>
        <w:spacing w:line="360" w:lineRule="auto"/>
        <w:ind w:firstLine="422" w:firstLineChars="200"/>
        <w:jc w:val="left"/>
        <w:rPr>
          <w:rFonts w:ascii="宋体" w:hAnsi="宋体" w:cs="宋体"/>
          <w:b/>
          <w:bCs/>
          <w:color w:val="auto"/>
          <w:sz w:val="21"/>
          <w:szCs w:val="21"/>
          <w:highlight w:val="none"/>
        </w:rPr>
      </w:pPr>
      <w:r>
        <w:rPr>
          <w:rFonts w:hint="eastAsia" w:ascii="宋体" w:hAnsi="宋体" w:cs="宋体"/>
          <w:b/>
          <w:bCs/>
          <w:color w:val="auto"/>
          <w:sz w:val="21"/>
          <w:szCs w:val="21"/>
          <w:highlight w:val="none"/>
        </w:rPr>
        <w:t>注：1、符合《政府采购法》第二十二条规定的资格条件，按照采购文件约定提供资格承诺，不再提供资质资料，主要包括投标人在响应文件中无需再提供营业执照、财务状况报告、依法缴纳税收和社会保障资金、具有履行合同所必须的设备和专业技术能力、参加政府采购活动前三年内在经营活动中没有重大违法记录相关证明材料。</w:t>
      </w:r>
    </w:p>
    <w:p w14:paraId="0F76D4C5">
      <w:pPr>
        <w:widowControl/>
        <w:spacing w:line="360" w:lineRule="auto"/>
        <w:ind w:firstLine="422" w:firstLineChars="200"/>
        <w:jc w:val="left"/>
        <w:rPr>
          <w:rFonts w:ascii="宋体" w:hAnsi="宋体" w:cs="宋体"/>
          <w:color w:val="auto"/>
          <w:kern w:val="0"/>
          <w:sz w:val="21"/>
          <w:szCs w:val="21"/>
          <w:highlight w:val="none"/>
        </w:rPr>
      </w:pPr>
      <w:r>
        <w:rPr>
          <w:rFonts w:hint="eastAsia" w:ascii="宋体" w:hAnsi="宋体" w:cs="宋体"/>
          <w:b/>
          <w:bCs/>
          <w:color w:val="auto"/>
          <w:sz w:val="21"/>
          <w:szCs w:val="21"/>
          <w:highlight w:val="none"/>
        </w:rPr>
        <w:t>2、投标人应当遵循诚实信用原则，不得作虚假承诺。投标人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r>
        <w:rPr>
          <w:rFonts w:hint="eastAsia" w:ascii="宋体" w:hAnsi="宋体" w:cs="宋体"/>
          <w:color w:val="auto"/>
          <w:sz w:val="21"/>
          <w:szCs w:val="21"/>
          <w:highlight w:val="none"/>
        </w:rPr>
        <w:t>。</w:t>
      </w:r>
    </w:p>
    <w:p w14:paraId="772E1E96">
      <w:pPr>
        <w:spacing w:line="360" w:lineRule="auto"/>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3.2 投标报价</w:t>
      </w:r>
      <w:bookmarkEnd w:id="89"/>
      <w:bookmarkEnd w:id="90"/>
      <w:bookmarkEnd w:id="91"/>
      <w:bookmarkEnd w:id="92"/>
    </w:p>
    <w:p w14:paraId="58E1928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3.2.1投标报价包括：供应商的投标报价应包括货物本身的费用、包装费、运输费、装卸费、运输过程保险费、安装费、质量保证费、相关的伴随服务费、货物本身已支付或将支付的各种税费以及其它交付使用前的所有费用。投标价不是唯一的或不是固定不变的响应文件将被作为非响应性投标而予以拒绝。</w:t>
      </w:r>
    </w:p>
    <w:p w14:paraId="036E1C33">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3.2.2投标报价在中标后不得修改。</w:t>
      </w:r>
    </w:p>
    <w:p w14:paraId="5166CA23">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3.2.3供应商只能提出一个不变价格，采购人不接受任何选择价。</w:t>
      </w:r>
    </w:p>
    <w:p w14:paraId="68BD3CEF">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3.2.4供应商必须对招标范围内的所有货物投标，不允许只对其中一种或几种货物投标。</w:t>
      </w:r>
    </w:p>
    <w:p w14:paraId="2F81F665">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3.2.5全部报价均应以人民币为计量币种，并以人民币进行结算。</w:t>
      </w:r>
    </w:p>
    <w:p w14:paraId="03B0246D">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3.2.6投标报价原则是各供应商依据自身实力、管理水平，结合企业所在地区的人工工资标准，在确保项目质量，确保项目成本的基础上，自主报价、自负盈亏。</w:t>
      </w:r>
    </w:p>
    <w:p w14:paraId="3511454F">
      <w:pPr>
        <w:widowControl/>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3.2.7若投标函中的内容与投标一览表内容不一致时，以投标一览表内容为准。若投标一览表中的大写金额和小写金额不一致的，以大写金额为准；总价金额与单价金额不一致的，以单价金额为准，但单价金额小数点有明显错误的除外；对不同文字文本投标文件的解释发生异议的，以中文文本为准。</w:t>
      </w:r>
    </w:p>
    <w:p w14:paraId="6AEAAEC5">
      <w:pPr>
        <w:spacing w:line="360" w:lineRule="auto"/>
        <w:ind w:firstLine="422" w:firstLineChars="200"/>
        <w:rPr>
          <w:rFonts w:ascii="宋体" w:hAnsi="宋体" w:cs="宋体"/>
          <w:b/>
          <w:bCs/>
          <w:color w:val="auto"/>
          <w:szCs w:val="21"/>
          <w:highlight w:val="none"/>
        </w:rPr>
      </w:pPr>
      <w:bookmarkStart w:id="93" w:name="_Toc274249593"/>
      <w:bookmarkStart w:id="94" w:name="_Toc279599789"/>
      <w:bookmarkStart w:id="95" w:name="_Toc426369498"/>
      <w:bookmarkStart w:id="96" w:name="_Toc403122510"/>
      <w:r>
        <w:rPr>
          <w:rFonts w:hint="eastAsia" w:ascii="宋体" w:hAnsi="宋体" w:cs="宋体"/>
          <w:b/>
          <w:bCs/>
          <w:color w:val="auto"/>
          <w:szCs w:val="21"/>
          <w:highlight w:val="none"/>
        </w:rPr>
        <w:t>3.3 投标有效期</w:t>
      </w:r>
      <w:bookmarkEnd w:id="93"/>
      <w:bookmarkEnd w:id="94"/>
      <w:bookmarkEnd w:id="95"/>
      <w:bookmarkEnd w:id="96"/>
    </w:p>
    <w:p w14:paraId="232C1F83">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3.3.1在供应商须知前附表规定的投标有效期内，供应商不得要求撤销或修改其投标文件。 </w:t>
      </w:r>
    </w:p>
    <w:p w14:paraId="5E4B29F4">
      <w:pPr>
        <w:spacing w:line="360" w:lineRule="auto"/>
        <w:ind w:firstLine="422" w:firstLineChars="200"/>
        <w:rPr>
          <w:rFonts w:ascii="宋体" w:hAnsi="宋体" w:cs="宋体"/>
          <w:b/>
          <w:bCs/>
          <w:color w:val="auto"/>
          <w:szCs w:val="21"/>
          <w:highlight w:val="none"/>
        </w:rPr>
      </w:pPr>
      <w:bookmarkStart w:id="97" w:name="_Toc403122512"/>
      <w:bookmarkStart w:id="98" w:name="_Toc426369501"/>
      <w:bookmarkStart w:id="99" w:name="_Toc274249595"/>
      <w:bookmarkStart w:id="100" w:name="_Toc279599791"/>
      <w:r>
        <w:rPr>
          <w:rFonts w:hint="eastAsia" w:ascii="宋体" w:hAnsi="宋体" w:cs="宋体"/>
          <w:b/>
          <w:bCs/>
          <w:color w:val="auto"/>
          <w:szCs w:val="21"/>
          <w:highlight w:val="none"/>
        </w:rPr>
        <w:t>3.5 资格审查资料</w:t>
      </w:r>
      <w:bookmarkEnd w:id="97"/>
      <w:bookmarkEnd w:id="98"/>
      <w:bookmarkEnd w:id="99"/>
      <w:bookmarkEnd w:id="100"/>
    </w:p>
    <w:p w14:paraId="7F0B027D">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3.5.1</w:t>
      </w:r>
      <w:r>
        <w:rPr>
          <w:rFonts w:hint="eastAsia" w:ascii="宋体" w:hAnsi="宋体" w:cs="宋体"/>
          <w:color w:val="auto"/>
          <w:kern w:val="0"/>
          <w:szCs w:val="21"/>
          <w:highlight w:val="none"/>
        </w:rPr>
        <w:t>依据“投标人须知前附表”中的要求提交相应的资格证明文件，作为投标文件的一部分，以证明其有资格进行投标和有能力履行合同</w:t>
      </w:r>
      <w:r>
        <w:rPr>
          <w:rFonts w:hint="eastAsia" w:ascii="宋体" w:hAnsi="宋体" w:cs="宋体"/>
          <w:color w:val="auto"/>
          <w:szCs w:val="21"/>
          <w:highlight w:val="none"/>
        </w:rPr>
        <w:t xml:space="preserve">。 </w:t>
      </w:r>
    </w:p>
    <w:p w14:paraId="17ED8389">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3.5.2招标文件规定的供应商资格条件。</w:t>
      </w:r>
    </w:p>
    <w:p w14:paraId="1C622C22">
      <w:pPr>
        <w:spacing w:line="360" w:lineRule="auto"/>
        <w:ind w:firstLine="422" w:firstLineChars="200"/>
        <w:rPr>
          <w:rFonts w:ascii="宋体" w:hAnsi="宋体" w:cs="宋体"/>
          <w:b/>
          <w:bCs/>
          <w:color w:val="auto"/>
          <w:szCs w:val="21"/>
          <w:highlight w:val="none"/>
        </w:rPr>
      </w:pPr>
      <w:bookmarkStart w:id="101" w:name="_Toc426369502"/>
      <w:bookmarkStart w:id="102" w:name="_Toc403122513"/>
      <w:bookmarkStart w:id="103" w:name="_Toc274249596"/>
      <w:bookmarkStart w:id="104" w:name="_Toc279599792"/>
      <w:r>
        <w:rPr>
          <w:rFonts w:hint="eastAsia" w:ascii="宋体" w:hAnsi="宋体" w:cs="宋体"/>
          <w:b/>
          <w:bCs/>
          <w:color w:val="auto"/>
          <w:szCs w:val="21"/>
          <w:highlight w:val="none"/>
        </w:rPr>
        <w:t>3.6 备选投标方案</w:t>
      </w:r>
      <w:bookmarkEnd w:id="101"/>
      <w:bookmarkEnd w:id="102"/>
      <w:bookmarkEnd w:id="103"/>
      <w:bookmarkEnd w:id="104"/>
    </w:p>
    <w:p w14:paraId="3F0FD141">
      <w:pPr>
        <w:tabs>
          <w:tab w:val="left" w:pos="3570"/>
        </w:tabs>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供应商不得递交备选投标方案。 </w:t>
      </w:r>
    </w:p>
    <w:p w14:paraId="49F70F89">
      <w:pPr>
        <w:spacing w:line="360" w:lineRule="auto"/>
        <w:ind w:firstLine="422" w:firstLineChars="200"/>
        <w:rPr>
          <w:rFonts w:ascii="宋体" w:hAnsi="宋体" w:cs="宋体"/>
          <w:b/>
          <w:bCs/>
          <w:color w:val="auto"/>
          <w:szCs w:val="21"/>
          <w:highlight w:val="none"/>
        </w:rPr>
      </w:pPr>
      <w:bookmarkStart w:id="105" w:name="_Toc426369503"/>
      <w:bookmarkStart w:id="106" w:name="_Toc403122514"/>
      <w:bookmarkStart w:id="107" w:name="_Toc279599793"/>
      <w:bookmarkStart w:id="108" w:name="_Toc274249597"/>
      <w:r>
        <w:rPr>
          <w:rFonts w:hint="eastAsia" w:ascii="宋体" w:hAnsi="宋体" w:cs="宋体"/>
          <w:b/>
          <w:bCs/>
          <w:color w:val="auto"/>
          <w:szCs w:val="21"/>
          <w:highlight w:val="none"/>
        </w:rPr>
        <w:t>3.7 投标文件的编制</w:t>
      </w:r>
      <w:bookmarkEnd w:id="105"/>
      <w:bookmarkEnd w:id="106"/>
      <w:bookmarkEnd w:id="107"/>
      <w:bookmarkEnd w:id="108"/>
    </w:p>
    <w:p w14:paraId="30189095">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3.7.1 投标文件应按招标文件中要求</w:t>
      </w:r>
      <w:r>
        <w:rPr>
          <w:rFonts w:hint="eastAsia" w:ascii="宋体" w:hAnsi="宋体" w:cs="宋体"/>
          <w:color w:val="auto"/>
          <w:kern w:val="0"/>
          <w:szCs w:val="21"/>
          <w:highlight w:val="none"/>
        </w:rPr>
        <w:t>使用焦作市公共资源交易系统投标文件制作专用工具软件编制</w:t>
      </w:r>
      <w:r>
        <w:rPr>
          <w:rFonts w:hint="eastAsia" w:ascii="宋体" w:hAnsi="宋体" w:cs="宋体"/>
          <w:color w:val="auto"/>
          <w:szCs w:val="21"/>
          <w:highlight w:val="none"/>
        </w:rPr>
        <w:t xml:space="preserve">。 </w:t>
      </w:r>
    </w:p>
    <w:p w14:paraId="26C8AD7B">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3.7.2  投标文件应当对招标文件有关</w:t>
      </w:r>
      <w:r>
        <w:rPr>
          <w:rFonts w:hint="eastAsia"/>
          <w:color w:val="auto"/>
          <w:highlight w:val="none"/>
        </w:rPr>
        <w:t>投标报价、合同履行期限（供货及安装期）、质量标准</w:t>
      </w:r>
      <w:r>
        <w:rPr>
          <w:rFonts w:hint="eastAsia"/>
          <w:color w:val="auto"/>
          <w:highlight w:val="none"/>
          <w:lang w:eastAsia="zh-CN"/>
        </w:rPr>
        <w:t>、</w:t>
      </w:r>
      <w:r>
        <w:rPr>
          <w:rFonts w:hint="eastAsia"/>
          <w:color w:val="auto"/>
          <w:highlight w:val="none"/>
          <w:lang w:val="en-US" w:eastAsia="zh-CN"/>
        </w:rPr>
        <w:t>品牌、型号、投标有效期</w:t>
      </w:r>
      <w:r>
        <w:rPr>
          <w:rFonts w:hint="eastAsia"/>
          <w:color w:val="auto"/>
          <w:highlight w:val="none"/>
        </w:rPr>
        <w:t>等</w:t>
      </w:r>
      <w:r>
        <w:rPr>
          <w:rFonts w:hint="eastAsia" w:ascii="宋体" w:hAnsi="宋体" w:cs="宋体"/>
          <w:color w:val="auto"/>
          <w:szCs w:val="21"/>
          <w:highlight w:val="none"/>
        </w:rPr>
        <w:t>等实质性内容作出响应。</w:t>
      </w:r>
    </w:p>
    <w:p w14:paraId="04A25231">
      <w:pPr>
        <w:autoSpaceDE w:val="0"/>
        <w:autoSpaceDN w:val="0"/>
        <w:adjustRightIn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 xml:space="preserve">3.7.3 </w:t>
      </w:r>
      <w:r>
        <w:rPr>
          <w:rFonts w:hint="eastAsia" w:ascii="宋体" w:hAnsi="宋体" w:cs="宋体"/>
          <w:color w:val="auto"/>
          <w:kern w:val="0"/>
          <w:szCs w:val="21"/>
          <w:highlight w:val="none"/>
        </w:rPr>
        <w:t>本项目采用电子开评标方式，潜在投标人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按要求解密投标文件。因文件未及时上传导致投标失败的责任由投标人自行承担。</w:t>
      </w:r>
    </w:p>
    <w:p w14:paraId="7D75AD76">
      <w:pPr>
        <w:spacing w:line="360" w:lineRule="auto"/>
        <w:ind w:firstLine="422" w:firstLineChars="200"/>
        <w:rPr>
          <w:rFonts w:ascii="宋体" w:hAnsi="宋体" w:cs="宋体"/>
          <w:b/>
          <w:bCs/>
          <w:color w:val="auto"/>
          <w:szCs w:val="21"/>
          <w:highlight w:val="none"/>
        </w:rPr>
      </w:pPr>
      <w:bookmarkStart w:id="109" w:name="_Toc31809"/>
      <w:bookmarkStart w:id="110" w:name="_Toc25921"/>
      <w:bookmarkStart w:id="111" w:name="_Toc426369504"/>
      <w:bookmarkStart w:id="112" w:name="_Toc24133"/>
      <w:bookmarkStart w:id="113" w:name="_Toc30100"/>
      <w:bookmarkStart w:id="114" w:name="_Toc26998"/>
      <w:bookmarkStart w:id="115" w:name="_Toc403122515"/>
      <w:r>
        <w:rPr>
          <w:rFonts w:hint="eastAsia" w:ascii="宋体" w:hAnsi="宋体" w:cs="宋体"/>
          <w:b/>
          <w:bCs/>
          <w:color w:val="auto"/>
          <w:szCs w:val="21"/>
          <w:highlight w:val="none"/>
        </w:rPr>
        <w:t>4. 投标</w:t>
      </w:r>
      <w:bookmarkEnd w:id="109"/>
      <w:bookmarkEnd w:id="110"/>
      <w:bookmarkEnd w:id="111"/>
      <w:bookmarkEnd w:id="112"/>
      <w:bookmarkEnd w:id="113"/>
      <w:bookmarkEnd w:id="114"/>
      <w:bookmarkEnd w:id="115"/>
    </w:p>
    <w:p w14:paraId="211410C1">
      <w:pPr>
        <w:spacing w:line="360" w:lineRule="auto"/>
        <w:ind w:firstLine="422" w:firstLineChars="200"/>
        <w:rPr>
          <w:rFonts w:ascii="宋体" w:hAnsi="宋体" w:cs="宋体"/>
          <w:b/>
          <w:bCs/>
          <w:color w:val="auto"/>
          <w:szCs w:val="21"/>
          <w:highlight w:val="none"/>
        </w:rPr>
      </w:pPr>
      <w:bookmarkStart w:id="116" w:name="_Toc426369505"/>
      <w:bookmarkStart w:id="117" w:name="_Toc403122516"/>
      <w:bookmarkStart w:id="118" w:name="_Toc279599795"/>
      <w:bookmarkStart w:id="119" w:name="_Toc274249599"/>
      <w:r>
        <w:rPr>
          <w:rFonts w:hint="eastAsia" w:ascii="宋体" w:hAnsi="宋体" w:cs="宋体"/>
          <w:b/>
          <w:bCs/>
          <w:color w:val="auto"/>
          <w:szCs w:val="21"/>
          <w:highlight w:val="none"/>
        </w:rPr>
        <w:t>4.1 投标文件的密封和标记</w:t>
      </w:r>
      <w:bookmarkEnd w:id="116"/>
      <w:bookmarkEnd w:id="117"/>
      <w:bookmarkEnd w:id="118"/>
      <w:bookmarkEnd w:id="119"/>
    </w:p>
    <w:p w14:paraId="61982F2F">
      <w:pPr>
        <w:autoSpaceDE w:val="0"/>
        <w:autoSpaceDN w:val="0"/>
        <w:adjustRightIn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kern w:val="0"/>
          <w:szCs w:val="21"/>
          <w:highlight w:val="none"/>
        </w:rPr>
        <w:t>4.1.1.本项目采用</w:t>
      </w:r>
      <w:r>
        <w:rPr>
          <w:rFonts w:hint="eastAsia" w:ascii="宋体" w:hAnsi="宋体" w:cs="宋体"/>
          <w:color w:val="auto"/>
          <w:kern w:val="0"/>
          <w:szCs w:val="21"/>
          <w:highlight w:val="none"/>
          <w:lang w:val="zh-CN"/>
        </w:rPr>
        <w:t>网上上传的电子投标文件</w:t>
      </w:r>
      <w:r>
        <w:rPr>
          <w:rFonts w:hint="eastAsia" w:ascii="宋体" w:hAnsi="宋体" w:cs="宋体"/>
          <w:color w:val="auto"/>
          <w:kern w:val="0"/>
          <w:szCs w:val="21"/>
          <w:highlight w:val="none"/>
        </w:rPr>
        <w:t>,</w:t>
      </w:r>
      <w:r>
        <w:rPr>
          <w:rFonts w:hint="eastAsia" w:ascii="宋体" w:hAnsi="宋体" w:cs="宋体"/>
          <w:color w:val="auto"/>
          <w:kern w:val="0"/>
          <w:szCs w:val="21"/>
          <w:highlight w:val="none"/>
          <w:lang w:val="zh-CN"/>
        </w:rPr>
        <w:t>应使用数字证书认证并加密。</w:t>
      </w:r>
    </w:p>
    <w:p w14:paraId="40C26964">
      <w:pPr>
        <w:spacing w:line="360" w:lineRule="auto"/>
        <w:ind w:firstLine="422" w:firstLineChars="200"/>
        <w:rPr>
          <w:rFonts w:ascii="宋体" w:hAnsi="宋体" w:cs="宋体"/>
          <w:b/>
          <w:bCs/>
          <w:color w:val="auto"/>
          <w:szCs w:val="21"/>
          <w:highlight w:val="none"/>
        </w:rPr>
      </w:pPr>
      <w:bookmarkStart w:id="120" w:name="_Toc279599796"/>
      <w:bookmarkStart w:id="121" w:name="_Toc426369506"/>
      <w:bookmarkStart w:id="122" w:name="_Toc274249600"/>
      <w:bookmarkStart w:id="123" w:name="_Toc403122517"/>
      <w:r>
        <w:rPr>
          <w:rFonts w:hint="eastAsia" w:ascii="宋体" w:hAnsi="宋体" w:cs="宋体"/>
          <w:b/>
          <w:bCs/>
          <w:color w:val="auto"/>
          <w:szCs w:val="21"/>
          <w:highlight w:val="none"/>
        </w:rPr>
        <w:t>4.2 投标文件的递交</w:t>
      </w:r>
      <w:bookmarkEnd w:id="120"/>
      <w:bookmarkEnd w:id="121"/>
      <w:bookmarkEnd w:id="122"/>
      <w:bookmarkEnd w:id="123"/>
    </w:p>
    <w:p w14:paraId="25531F49">
      <w:pPr>
        <w:autoSpaceDE w:val="0"/>
        <w:autoSpaceDN w:val="0"/>
        <w:adjustRightInd w:val="0"/>
        <w:spacing w:line="360" w:lineRule="auto"/>
        <w:ind w:firstLine="420" w:firstLineChars="200"/>
        <w:jc w:val="left"/>
        <w:rPr>
          <w:rFonts w:ascii="宋体" w:hAnsi="宋体" w:cs="宋体"/>
          <w:color w:val="auto"/>
          <w:kern w:val="0"/>
          <w:szCs w:val="21"/>
          <w:highlight w:val="none"/>
          <w:lang w:val="zh-CN"/>
        </w:rPr>
      </w:pPr>
      <w:r>
        <w:rPr>
          <w:rFonts w:hint="eastAsia" w:ascii="宋体" w:hAnsi="宋体" w:cs="宋体"/>
          <w:color w:val="auto"/>
          <w:kern w:val="0"/>
          <w:szCs w:val="21"/>
          <w:highlight w:val="none"/>
        </w:rPr>
        <w:t>4.2.1</w:t>
      </w:r>
      <w:r>
        <w:rPr>
          <w:rFonts w:hint="eastAsia" w:ascii="宋体" w:hAnsi="宋体" w:cs="宋体"/>
          <w:color w:val="auto"/>
          <w:kern w:val="0"/>
          <w:szCs w:val="21"/>
          <w:highlight w:val="none"/>
          <w:lang w:val="zh-CN"/>
        </w:rPr>
        <w:t>所有投标文件必须在本招标文件中规定的投标截止时间之前</w:t>
      </w:r>
      <w:r>
        <w:rPr>
          <w:rFonts w:hint="eastAsia" w:ascii="宋体" w:hAnsi="宋体" w:cs="宋体"/>
          <w:color w:val="auto"/>
          <w:kern w:val="0"/>
          <w:szCs w:val="21"/>
          <w:highlight w:val="none"/>
        </w:rPr>
        <w:t>提前上传，按要求</w:t>
      </w:r>
      <w:r>
        <w:rPr>
          <w:rFonts w:hint="eastAsia" w:ascii="宋体" w:hAnsi="宋体" w:cs="宋体"/>
          <w:color w:val="auto"/>
          <w:szCs w:val="21"/>
          <w:highlight w:val="none"/>
        </w:rPr>
        <w:t>在线签到、解密文件等，解密时间为投标截止时后30分钟内，</w:t>
      </w:r>
      <w:r>
        <w:rPr>
          <w:rFonts w:hint="eastAsia" w:ascii="宋体" w:hAnsi="宋体" w:cs="宋体"/>
          <w:color w:val="auto"/>
          <w:kern w:val="0"/>
          <w:szCs w:val="21"/>
          <w:highlight w:val="none"/>
        </w:rPr>
        <w:t>不能按时上传、解密者视为自动放弃投标。</w:t>
      </w:r>
    </w:p>
    <w:p w14:paraId="6CC3DFCB">
      <w:pPr>
        <w:autoSpaceDE w:val="0"/>
        <w:autoSpaceDN w:val="0"/>
        <w:adjustRightIn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kern w:val="0"/>
          <w:szCs w:val="21"/>
          <w:highlight w:val="none"/>
        </w:rPr>
        <w:t>4.2.</w:t>
      </w:r>
      <w:r>
        <w:rPr>
          <w:rFonts w:hint="eastAsia" w:ascii="宋体" w:hAnsi="宋体" w:cs="宋体"/>
          <w:color w:val="auto"/>
          <w:kern w:val="0"/>
          <w:szCs w:val="21"/>
          <w:highlight w:val="none"/>
          <w:lang w:val="zh-CN"/>
        </w:rPr>
        <w:t>2.采购人拒绝接收在投标文件递交截止时间后上传的投标文件。</w:t>
      </w:r>
      <w:bookmarkStart w:id="124" w:name="_Hlt26954754"/>
      <w:bookmarkEnd w:id="124"/>
      <w:bookmarkStart w:id="125" w:name="_Hlt26954862"/>
      <w:bookmarkEnd w:id="125"/>
    </w:p>
    <w:p w14:paraId="074E61F3">
      <w:pPr>
        <w:spacing w:line="360" w:lineRule="auto"/>
        <w:ind w:firstLine="422" w:firstLineChars="200"/>
        <w:rPr>
          <w:rFonts w:ascii="宋体" w:hAnsi="宋体" w:cs="宋体"/>
          <w:b/>
          <w:bCs/>
          <w:color w:val="auto"/>
          <w:szCs w:val="21"/>
          <w:highlight w:val="none"/>
        </w:rPr>
      </w:pPr>
      <w:bookmarkStart w:id="126" w:name="_Toc403122518"/>
      <w:bookmarkStart w:id="127" w:name="_Toc426369507"/>
      <w:bookmarkStart w:id="128" w:name="_Toc279599797"/>
      <w:bookmarkStart w:id="129" w:name="_Toc274249601"/>
      <w:r>
        <w:rPr>
          <w:rFonts w:hint="eastAsia" w:ascii="宋体" w:hAnsi="宋体" w:cs="宋体"/>
          <w:b/>
          <w:bCs/>
          <w:color w:val="auto"/>
          <w:szCs w:val="21"/>
          <w:highlight w:val="none"/>
        </w:rPr>
        <w:t>4.3 投标文件的修改与撤回</w:t>
      </w:r>
      <w:bookmarkEnd w:id="126"/>
      <w:bookmarkEnd w:id="127"/>
      <w:bookmarkEnd w:id="128"/>
      <w:bookmarkEnd w:id="129"/>
    </w:p>
    <w:p w14:paraId="3A391762">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4.3.1  在本章第 2.2.2 项规定的投标截止时间前，供应商可以修改或撤回已递交的投标文件。 </w:t>
      </w:r>
    </w:p>
    <w:p w14:paraId="44B2A2AF">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4.3.2  供应商修改或撤回已递交投标文件的书面通知应按照本章第 3.7.3 项的要求签字盖章。 </w:t>
      </w:r>
    </w:p>
    <w:p w14:paraId="0536B17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4.3.3  修改的内容为投标文件的组成部分。修改的投标文件应按照本章第 3 条、第 4 条规定进行编制、密封、标记和递交，并标明“修改”字样。 </w:t>
      </w:r>
    </w:p>
    <w:p w14:paraId="0A6BE456">
      <w:pPr>
        <w:spacing w:line="360" w:lineRule="auto"/>
        <w:ind w:firstLine="422" w:firstLineChars="200"/>
        <w:rPr>
          <w:rFonts w:ascii="宋体" w:hAnsi="宋体" w:cs="宋体"/>
          <w:b/>
          <w:bCs/>
          <w:color w:val="auto"/>
          <w:szCs w:val="21"/>
          <w:highlight w:val="none"/>
        </w:rPr>
      </w:pPr>
      <w:bookmarkStart w:id="130" w:name="_Toc403122519"/>
      <w:bookmarkStart w:id="131" w:name="_Toc9092"/>
      <w:bookmarkStart w:id="132" w:name="_Toc32449"/>
      <w:bookmarkStart w:id="133" w:name="_Toc5457"/>
      <w:bookmarkStart w:id="134" w:name="_Toc18170"/>
      <w:bookmarkStart w:id="135" w:name="_Toc426369508"/>
      <w:bookmarkStart w:id="136" w:name="_Toc14525"/>
      <w:r>
        <w:rPr>
          <w:rFonts w:hint="eastAsia" w:ascii="宋体" w:hAnsi="宋体" w:cs="宋体"/>
          <w:b/>
          <w:bCs/>
          <w:color w:val="auto"/>
          <w:szCs w:val="21"/>
          <w:highlight w:val="none"/>
        </w:rPr>
        <w:t>5. 开标</w:t>
      </w:r>
      <w:bookmarkEnd w:id="130"/>
      <w:bookmarkEnd w:id="131"/>
      <w:bookmarkEnd w:id="132"/>
      <w:bookmarkEnd w:id="133"/>
      <w:bookmarkEnd w:id="134"/>
      <w:bookmarkEnd w:id="135"/>
      <w:bookmarkEnd w:id="136"/>
    </w:p>
    <w:p w14:paraId="69B9202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5.1 .1采购人在规定的投标截止时间（开标时间）和投标人须知前附表规定的地点公开开标。本项目采用“远程不见面”的开标方式,载明远程开标大厅网址（http://122.112.246.33/BidOpening/bidopeninghallaction/hall/login ）。投标人无需到现场参加开标会议，无需到达现场提交原件资料。投标人应当在线准时参加开标活动并进行文件解密、答疑澄清等。在规定时间内投标文件未解密的投标人，视为放弃投标。</w:t>
      </w:r>
    </w:p>
    <w:p w14:paraId="13743DAB">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所有投标文件必须在本招标文件中规定的投标截止时间之前提前上传投标文件，按要求解密投标文件，不能按时上传、解密者视为自动放弃投标。</w:t>
      </w:r>
    </w:p>
    <w:p w14:paraId="54C65E85">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5.1.2投标人不足3家的，不得开标。  </w:t>
      </w:r>
    </w:p>
    <w:p w14:paraId="7CF3A55E">
      <w:pPr>
        <w:spacing w:line="360" w:lineRule="auto"/>
        <w:ind w:firstLine="422" w:firstLineChars="200"/>
        <w:rPr>
          <w:rFonts w:ascii="宋体" w:hAnsi="宋体" w:cs="宋体"/>
          <w:b/>
          <w:bCs/>
          <w:color w:val="auto"/>
          <w:szCs w:val="21"/>
          <w:highlight w:val="none"/>
        </w:rPr>
      </w:pPr>
      <w:bookmarkStart w:id="137" w:name="_Toc279599799"/>
      <w:bookmarkStart w:id="138" w:name="_Toc403122520"/>
      <w:bookmarkStart w:id="139" w:name="_Toc426369509"/>
      <w:bookmarkStart w:id="140" w:name="_Toc274249603"/>
      <w:r>
        <w:rPr>
          <w:rFonts w:hint="eastAsia" w:ascii="宋体" w:hAnsi="宋体" w:cs="宋体"/>
          <w:b/>
          <w:bCs/>
          <w:color w:val="auto"/>
          <w:szCs w:val="21"/>
          <w:highlight w:val="none"/>
        </w:rPr>
        <w:t>5.2 开标时间和地点</w:t>
      </w:r>
      <w:bookmarkEnd w:id="137"/>
      <w:bookmarkEnd w:id="138"/>
      <w:bookmarkEnd w:id="139"/>
      <w:bookmarkEnd w:id="140"/>
    </w:p>
    <w:p w14:paraId="255592D6">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采购人在本章第 2.2.2 项规定的投标截止时间（开标时间）和供应商须知前附表规定的地点公开开标。</w:t>
      </w:r>
    </w:p>
    <w:p w14:paraId="56480C6E">
      <w:pPr>
        <w:spacing w:line="360" w:lineRule="auto"/>
        <w:ind w:firstLine="422" w:firstLineChars="200"/>
        <w:rPr>
          <w:rFonts w:ascii="宋体" w:hAnsi="宋体" w:cs="宋体"/>
          <w:b/>
          <w:bCs/>
          <w:color w:val="auto"/>
          <w:szCs w:val="21"/>
          <w:highlight w:val="none"/>
        </w:rPr>
      </w:pPr>
      <w:bookmarkStart w:id="141" w:name="_Toc279599800"/>
      <w:bookmarkStart w:id="142" w:name="_Toc274249604"/>
      <w:bookmarkStart w:id="143" w:name="_Toc426369510"/>
      <w:bookmarkStart w:id="144" w:name="_Toc403122521"/>
      <w:r>
        <w:rPr>
          <w:rFonts w:hint="eastAsia" w:ascii="宋体" w:hAnsi="宋体" w:cs="宋体"/>
          <w:b/>
          <w:bCs/>
          <w:color w:val="auto"/>
          <w:szCs w:val="21"/>
          <w:highlight w:val="none"/>
        </w:rPr>
        <w:t>5.3开标程序</w:t>
      </w:r>
      <w:bookmarkEnd w:id="141"/>
      <w:bookmarkEnd w:id="142"/>
      <w:bookmarkEnd w:id="143"/>
      <w:bookmarkEnd w:id="144"/>
    </w:p>
    <w:p w14:paraId="031FB498">
      <w:pPr>
        <w:spacing w:line="360" w:lineRule="auto"/>
        <w:ind w:firstLine="420" w:firstLineChars="200"/>
        <w:rPr>
          <w:rFonts w:ascii="宋体" w:hAnsi="宋体" w:cs="宋体"/>
          <w:color w:val="auto"/>
          <w:szCs w:val="21"/>
          <w:highlight w:val="none"/>
          <w:lang w:val="zh-CN"/>
        </w:rPr>
      </w:pPr>
      <w:bookmarkStart w:id="145" w:name="_Toc426369511"/>
      <w:r>
        <w:rPr>
          <w:rFonts w:hint="eastAsia" w:ascii="宋体" w:hAnsi="宋体" w:cs="宋体"/>
          <w:color w:val="auto"/>
          <w:szCs w:val="21"/>
          <w:highlight w:val="none"/>
        </w:rPr>
        <w:t>5.3</w:t>
      </w:r>
      <w:r>
        <w:rPr>
          <w:rFonts w:hint="eastAsia" w:ascii="宋体" w:hAnsi="宋体" w:cs="宋体"/>
          <w:color w:val="auto"/>
          <w:szCs w:val="21"/>
          <w:highlight w:val="none"/>
          <w:lang w:val="zh-CN"/>
        </w:rPr>
        <w:t>.1本</w:t>
      </w:r>
      <w:r>
        <w:rPr>
          <w:rFonts w:hint="eastAsia" w:ascii="宋体" w:hAnsi="宋体" w:cs="宋体"/>
          <w:color w:val="auto"/>
          <w:szCs w:val="21"/>
          <w:highlight w:val="none"/>
        </w:rPr>
        <w:t>项目</w:t>
      </w:r>
      <w:r>
        <w:rPr>
          <w:rFonts w:hint="eastAsia" w:ascii="宋体" w:hAnsi="宋体" w:cs="宋体"/>
          <w:color w:val="auto"/>
          <w:szCs w:val="21"/>
          <w:highlight w:val="none"/>
          <w:lang w:val="zh-CN"/>
        </w:rPr>
        <w:t>采用电子开标。投标截止时间到达后，各投标人对电子投标文件进行解密。解密完成后各投标人的电子投标文件的实质性内容将自动显示在网页中。投标人在投标截止时间前未上传电子投标文件的将被视为放弃投标。</w:t>
      </w:r>
    </w:p>
    <w:p w14:paraId="6E8BA660">
      <w:pPr>
        <w:spacing w:line="360" w:lineRule="auto"/>
        <w:ind w:firstLine="420" w:firstLineChars="200"/>
        <w:rPr>
          <w:rFonts w:ascii="宋体" w:hAnsi="宋体" w:cs="宋体"/>
          <w:color w:val="auto"/>
          <w:szCs w:val="21"/>
          <w:highlight w:val="none"/>
          <w:lang w:val="zh-CN"/>
        </w:rPr>
      </w:pPr>
      <w:r>
        <w:rPr>
          <w:rFonts w:hint="eastAsia" w:ascii="宋体" w:hAnsi="宋体" w:cs="宋体"/>
          <w:color w:val="auto"/>
          <w:szCs w:val="21"/>
          <w:highlight w:val="none"/>
          <w:lang w:val="zh-CN"/>
        </w:rPr>
        <w:t>主持人按下列程序进行开标：</w:t>
      </w:r>
    </w:p>
    <w:p w14:paraId="5F54BD99">
      <w:pPr>
        <w:spacing w:line="360" w:lineRule="auto"/>
        <w:ind w:firstLine="420" w:firstLineChars="200"/>
        <w:rPr>
          <w:rFonts w:ascii="宋体" w:hAnsi="宋体" w:cs="宋体"/>
          <w:color w:val="auto"/>
          <w:szCs w:val="21"/>
          <w:highlight w:val="none"/>
          <w:lang w:val="zh-CN"/>
        </w:rPr>
      </w:pPr>
      <w:r>
        <w:rPr>
          <w:rFonts w:hint="eastAsia" w:ascii="宋体" w:hAnsi="宋体" w:cs="宋体"/>
          <w:color w:val="auto"/>
          <w:szCs w:val="21"/>
          <w:highlight w:val="none"/>
          <w:lang w:val="zh-CN"/>
        </w:rPr>
        <w:t>(l）宣布投标截止时间已到，不再接收投标文件；</w:t>
      </w:r>
    </w:p>
    <w:p w14:paraId="1EE6B8C0">
      <w:pPr>
        <w:spacing w:line="360" w:lineRule="auto"/>
        <w:ind w:firstLine="420" w:firstLineChars="200"/>
        <w:rPr>
          <w:rFonts w:ascii="宋体" w:hAnsi="宋体" w:cs="宋体"/>
          <w:color w:val="auto"/>
          <w:szCs w:val="21"/>
          <w:highlight w:val="none"/>
          <w:lang w:val="zh-CN"/>
        </w:rPr>
      </w:pPr>
      <w:r>
        <w:rPr>
          <w:rFonts w:hint="eastAsia" w:ascii="宋体" w:hAnsi="宋体" w:cs="宋体"/>
          <w:color w:val="auto"/>
          <w:szCs w:val="21"/>
          <w:highlight w:val="none"/>
          <w:lang w:val="zh-CN"/>
        </w:rPr>
        <w:t>(</w:t>
      </w:r>
      <w:r>
        <w:rPr>
          <w:rFonts w:hint="eastAsia" w:ascii="宋体" w:hAnsi="宋体" w:cs="宋体"/>
          <w:color w:val="auto"/>
          <w:szCs w:val="21"/>
          <w:highlight w:val="none"/>
        </w:rPr>
        <w:t>2</w:t>
      </w:r>
      <w:r>
        <w:rPr>
          <w:rFonts w:hint="eastAsia" w:ascii="宋体" w:hAnsi="宋体" w:cs="宋体"/>
          <w:color w:val="auto"/>
          <w:szCs w:val="21"/>
          <w:highlight w:val="none"/>
          <w:lang w:val="zh-CN"/>
        </w:rPr>
        <w:t>）宣布开标人、唱标人、记录人、监标人等有关人员姓名；</w:t>
      </w:r>
    </w:p>
    <w:p w14:paraId="0B2C968A">
      <w:pPr>
        <w:spacing w:line="360" w:lineRule="auto"/>
        <w:ind w:firstLine="420" w:firstLineChars="200"/>
        <w:rPr>
          <w:rFonts w:ascii="宋体" w:hAnsi="宋体" w:cs="宋体"/>
          <w:color w:val="auto"/>
          <w:szCs w:val="21"/>
          <w:highlight w:val="none"/>
          <w:lang w:val="zh-CN"/>
        </w:rPr>
      </w:pPr>
      <w:r>
        <w:rPr>
          <w:rFonts w:hint="eastAsia" w:ascii="宋体" w:hAnsi="宋体" w:cs="宋体"/>
          <w:color w:val="auto"/>
          <w:szCs w:val="21"/>
          <w:highlight w:val="none"/>
          <w:lang w:val="zh-CN"/>
        </w:rPr>
        <w:t>(</w:t>
      </w:r>
      <w:r>
        <w:rPr>
          <w:rFonts w:hint="eastAsia" w:ascii="宋体" w:hAnsi="宋体" w:cs="宋体"/>
          <w:color w:val="auto"/>
          <w:szCs w:val="21"/>
          <w:highlight w:val="none"/>
        </w:rPr>
        <w:t>3</w:t>
      </w:r>
      <w:r>
        <w:rPr>
          <w:rFonts w:hint="eastAsia" w:ascii="宋体" w:hAnsi="宋体" w:cs="宋体"/>
          <w:color w:val="auto"/>
          <w:szCs w:val="21"/>
          <w:highlight w:val="none"/>
          <w:lang w:val="zh-CN"/>
        </w:rPr>
        <w:t>）电子投标文件解密；</w:t>
      </w:r>
    </w:p>
    <w:p w14:paraId="6D0C4F5E">
      <w:pPr>
        <w:spacing w:line="360" w:lineRule="auto"/>
        <w:ind w:firstLine="420" w:firstLineChars="200"/>
        <w:rPr>
          <w:rFonts w:ascii="宋体" w:hAnsi="宋体" w:cs="宋体"/>
          <w:color w:val="auto"/>
          <w:szCs w:val="21"/>
          <w:highlight w:val="none"/>
          <w:lang w:val="zh-CN"/>
        </w:rPr>
      </w:pPr>
      <w:r>
        <w:rPr>
          <w:rFonts w:hint="eastAsia" w:ascii="宋体" w:hAnsi="宋体" w:cs="宋体"/>
          <w:color w:val="auto"/>
          <w:szCs w:val="21"/>
          <w:highlight w:val="none"/>
          <w:lang w:val="zh-CN"/>
        </w:rPr>
        <w:t>（</w:t>
      </w:r>
      <w:r>
        <w:rPr>
          <w:rFonts w:hint="eastAsia" w:ascii="宋体" w:hAnsi="宋体" w:cs="宋体"/>
          <w:color w:val="auto"/>
          <w:szCs w:val="21"/>
          <w:highlight w:val="none"/>
        </w:rPr>
        <w:t>4</w:t>
      </w:r>
      <w:r>
        <w:rPr>
          <w:rFonts w:hint="eastAsia" w:ascii="宋体" w:hAnsi="宋体" w:cs="宋体"/>
          <w:color w:val="auto"/>
          <w:szCs w:val="21"/>
          <w:highlight w:val="none"/>
          <w:lang w:val="zh-CN"/>
        </w:rPr>
        <w:t>）宣布投标文件开标顺序，电子唱标并记录在案；</w:t>
      </w:r>
    </w:p>
    <w:p w14:paraId="2E449273">
      <w:pPr>
        <w:spacing w:line="360" w:lineRule="auto"/>
        <w:ind w:firstLine="420" w:firstLineChars="200"/>
        <w:rPr>
          <w:rFonts w:ascii="宋体" w:hAnsi="宋体" w:cs="宋体"/>
          <w:color w:val="auto"/>
          <w:szCs w:val="21"/>
          <w:highlight w:val="none"/>
          <w:lang w:val="zh-CN"/>
        </w:rPr>
      </w:pPr>
      <w:r>
        <w:rPr>
          <w:rFonts w:hint="eastAsia" w:ascii="宋体" w:hAnsi="宋体" w:cs="宋体"/>
          <w:color w:val="auto"/>
          <w:szCs w:val="21"/>
          <w:highlight w:val="none"/>
          <w:lang w:val="zh-CN"/>
        </w:rPr>
        <w:t>（</w:t>
      </w:r>
      <w:r>
        <w:rPr>
          <w:rFonts w:hint="eastAsia" w:ascii="宋体" w:hAnsi="宋体" w:cs="宋体"/>
          <w:color w:val="auto"/>
          <w:szCs w:val="21"/>
          <w:highlight w:val="none"/>
        </w:rPr>
        <w:t>5</w:t>
      </w:r>
      <w:r>
        <w:rPr>
          <w:rFonts w:hint="eastAsia" w:ascii="宋体" w:hAnsi="宋体" w:cs="宋体"/>
          <w:color w:val="auto"/>
          <w:szCs w:val="21"/>
          <w:highlight w:val="none"/>
          <w:lang w:val="zh-CN"/>
        </w:rPr>
        <w:t>）采购人、监标人等有关人员在开标记录上签字确认；</w:t>
      </w:r>
    </w:p>
    <w:p w14:paraId="78AFC86B">
      <w:pPr>
        <w:spacing w:line="360" w:lineRule="auto"/>
        <w:ind w:firstLine="420" w:firstLineChars="200"/>
        <w:rPr>
          <w:rFonts w:ascii="宋体" w:hAnsi="宋体" w:cs="宋体"/>
          <w:color w:val="auto"/>
          <w:szCs w:val="21"/>
          <w:highlight w:val="none"/>
          <w:lang w:val="zh-CN"/>
        </w:rPr>
      </w:pPr>
      <w:r>
        <w:rPr>
          <w:rFonts w:hint="eastAsia" w:ascii="宋体" w:hAnsi="宋体" w:cs="宋体"/>
          <w:color w:val="auto"/>
          <w:szCs w:val="21"/>
          <w:highlight w:val="none"/>
          <w:lang w:val="zh-CN"/>
        </w:rPr>
        <w:t>(</w:t>
      </w:r>
      <w:r>
        <w:rPr>
          <w:rFonts w:hint="eastAsia" w:ascii="宋体" w:hAnsi="宋体" w:cs="宋体"/>
          <w:color w:val="auto"/>
          <w:szCs w:val="21"/>
          <w:highlight w:val="none"/>
        </w:rPr>
        <w:t>6</w:t>
      </w:r>
      <w:r>
        <w:rPr>
          <w:rFonts w:hint="eastAsia" w:ascii="宋体" w:hAnsi="宋体" w:cs="宋体"/>
          <w:color w:val="auto"/>
          <w:szCs w:val="21"/>
          <w:highlight w:val="none"/>
          <w:lang w:val="zh-CN"/>
        </w:rPr>
        <w:t>）开标结束。</w:t>
      </w:r>
    </w:p>
    <w:p w14:paraId="613B5F7F">
      <w:pPr>
        <w:spacing w:line="360" w:lineRule="auto"/>
        <w:ind w:firstLine="420" w:firstLineChars="200"/>
        <w:rPr>
          <w:rFonts w:ascii="宋体" w:hAnsi="宋体" w:cs="宋体"/>
          <w:color w:val="auto"/>
          <w:szCs w:val="21"/>
          <w:highlight w:val="none"/>
          <w:lang w:val="zh-CN"/>
        </w:rPr>
      </w:pPr>
      <w:r>
        <w:rPr>
          <w:rFonts w:hint="eastAsia" w:ascii="宋体" w:hAnsi="宋体" w:cs="宋体"/>
          <w:color w:val="auto"/>
          <w:szCs w:val="21"/>
          <w:highlight w:val="none"/>
          <w:lang w:val="zh-CN"/>
        </w:rPr>
        <w:t>5.3.</w:t>
      </w:r>
      <w:r>
        <w:rPr>
          <w:rFonts w:hint="eastAsia" w:ascii="宋体" w:hAnsi="宋体" w:cs="宋体"/>
          <w:color w:val="auto"/>
          <w:szCs w:val="21"/>
          <w:highlight w:val="none"/>
        </w:rPr>
        <w:t>2</w:t>
      </w:r>
      <w:r>
        <w:rPr>
          <w:rFonts w:hint="eastAsia" w:ascii="宋体" w:hAnsi="宋体" w:cs="宋体"/>
          <w:color w:val="auto"/>
          <w:szCs w:val="21"/>
          <w:highlight w:val="none"/>
          <w:lang w:val="zh-CN"/>
        </w:rPr>
        <w:t>开标时出现下列情况的，采购人将拒绝其投标文件。</w:t>
      </w:r>
    </w:p>
    <w:p w14:paraId="683B889B">
      <w:pPr>
        <w:spacing w:line="360" w:lineRule="auto"/>
        <w:ind w:firstLine="420" w:firstLineChars="200"/>
        <w:rPr>
          <w:rFonts w:ascii="宋体" w:hAnsi="宋体" w:cs="宋体"/>
          <w:color w:val="auto"/>
          <w:szCs w:val="21"/>
          <w:highlight w:val="none"/>
          <w:lang w:val="zh-CN"/>
        </w:rPr>
      </w:pPr>
      <w:r>
        <w:rPr>
          <w:rFonts w:hint="eastAsia" w:ascii="宋体" w:hAnsi="宋体" w:cs="宋体"/>
          <w:color w:val="auto"/>
          <w:szCs w:val="21"/>
          <w:highlight w:val="none"/>
          <w:lang w:val="zh-CN"/>
        </w:rPr>
        <w:t>投标人未按投标人须知前附表规定的时间内解密投标文件的；</w:t>
      </w:r>
    </w:p>
    <w:p w14:paraId="49C02A89">
      <w:pPr>
        <w:spacing w:line="360" w:lineRule="auto"/>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5.4开标异议</w:t>
      </w:r>
      <w:bookmarkEnd w:id="145"/>
    </w:p>
    <w:p w14:paraId="4AB677F4">
      <w:pPr>
        <w:spacing w:line="360" w:lineRule="auto"/>
        <w:ind w:firstLine="420" w:firstLineChars="200"/>
        <w:rPr>
          <w:rFonts w:ascii="宋体" w:hAnsi="宋体" w:cs="宋体"/>
          <w:color w:val="auto"/>
          <w:szCs w:val="21"/>
          <w:highlight w:val="none"/>
          <w:lang w:val="zh-CN"/>
        </w:rPr>
      </w:pPr>
      <w:bookmarkStart w:id="146" w:name="_Toc403122522"/>
      <w:bookmarkStart w:id="147" w:name="_Toc426369512"/>
      <w:bookmarkStart w:id="148" w:name="_Toc12881"/>
      <w:bookmarkStart w:id="149" w:name="_Toc21662"/>
      <w:r>
        <w:rPr>
          <w:rFonts w:hint="eastAsia" w:ascii="宋体" w:hAnsi="宋体" w:cs="宋体"/>
          <w:color w:val="auto"/>
          <w:szCs w:val="21"/>
          <w:highlight w:val="none"/>
        </w:rPr>
        <w:t>5.4.1</w:t>
      </w:r>
      <w:r>
        <w:rPr>
          <w:rFonts w:hint="eastAsia" w:ascii="宋体" w:hAnsi="宋体" w:cs="宋体"/>
          <w:color w:val="auto"/>
          <w:szCs w:val="21"/>
          <w:highlight w:val="none"/>
          <w:lang w:val="zh-CN"/>
        </w:rPr>
        <w:t>投标人对开标有异议的，应当在开标现场提出（</w:t>
      </w:r>
      <w:bookmarkStart w:id="150" w:name="_Toc12998"/>
      <w:r>
        <w:rPr>
          <w:rFonts w:hint="eastAsia" w:ascii="宋体" w:hAnsi="宋体" w:cs="宋体"/>
          <w:color w:val="auto"/>
          <w:szCs w:val="21"/>
          <w:highlight w:val="none"/>
          <w:lang w:val="zh-CN"/>
        </w:rPr>
        <w:t>语音异议</w:t>
      </w:r>
      <w:bookmarkEnd w:id="150"/>
      <w:r>
        <w:rPr>
          <w:rFonts w:hint="eastAsia" w:ascii="宋体" w:hAnsi="宋体" w:cs="宋体"/>
          <w:color w:val="auto"/>
          <w:szCs w:val="21"/>
          <w:highlight w:val="none"/>
          <w:lang w:val="zh-CN"/>
        </w:rPr>
        <w:t>、</w:t>
      </w:r>
      <w:bookmarkStart w:id="151" w:name="_Toc20745"/>
      <w:r>
        <w:rPr>
          <w:rFonts w:hint="eastAsia" w:ascii="宋体" w:hAnsi="宋体" w:cs="宋体"/>
          <w:color w:val="auto"/>
          <w:szCs w:val="21"/>
          <w:highlight w:val="none"/>
          <w:lang w:val="zh-CN"/>
        </w:rPr>
        <w:t>文字异议</w:t>
      </w:r>
      <w:bookmarkEnd w:id="151"/>
      <w:r>
        <w:rPr>
          <w:rFonts w:hint="eastAsia" w:ascii="宋体" w:hAnsi="宋体" w:cs="宋体"/>
          <w:color w:val="auto"/>
          <w:szCs w:val="21"/>
          <w:highlight w:val="none"/>
          <w:lang w:val="zh-CN"/>
        </w:rPr>
        <w:t>），</w:t>
      </w:r>
      <w:r>
        <w:rPr>
          <w:rFonts w:hint="eastAsia" w:ascii="宋体" w:hAnsi="宋体" w:cs="宋体"/>
          <w:color w:val="auto"/>
          <w:szCs w:val="21"/>
          <w:highlight w:val="none"/>
        </w:rPr>
        <w:t>采购</w:t>
      </w:r>
      <w:r>
        <w:rPr>
          <w:rFonts w:hint="eastAsia" w:ascii="宋体" w:hAnsi="宋体" w:cs="宋体"/>
          <w:color w:val="auto"/>
          <w:szCs w:val="21"/>
          <w:highlight w:val="none"/>
          <w:lang w:val="zh-CN"/>
        </w:rPr>
        <w:t>人当场作出答复，并制作记录。</w:t>
      </w:r>
    </w:p>
    <w:p w14:paraId="556F8A49">
      <w:pPr>
        <w:spacing w:line="360" w:lineRule="auto"/>
        <w:ind w:firstLine="420" w:firstLineChars="200"/>
        <w:rPr>
          <w:rFonts w:ascii="宋体" w:hAnsi="宋体" w:cs="宋体"/>
          <w:color w:val="auto"/>
          <w:szCs w:val="21"/>
          <w:highlight w:val="none"/>
          <w:lang w:val="zh-CN"/>
        </w:rPr>
      </w:pPr>
      <w:r>
        <w:rPr>
          <w:rFonts w:hint="eastAsia" w:ascii="宋体" w:hAnsi="宋体" w:cs="宋体"/>
          <w:color w:val="auto"/>
          <w:szCs w:val="21"/>
          <w:highlight w:val="none"/>
        </w:rPr>
        <w:t>5.4.2</w:t>
      </w:r>
      <w:r>
        <w:rPr>
          <w:rFonts w:hint="eastAsia" w:ascii="宋体" w:hAnsi="宋体" w:cs="宋体"/>
          <w:color w:val="auto"/>
          <w:szCs w:val="21"/>
          <w:highlight w:val="none"/>
          <w:lang w:val="zh-CN"/>
        </w:rPr>
        <w:t>开标异常处理</w:t>
      </w:r>
    </w:p>
    <w:p w14:paraId="3BD0DF1F">
      <w:pPr>
        <w:spacing w:line="360" w:lineRule="auto"/>
        <w:ind w:firstLine="420" w:firstLineChars="200"/>
        <w:rPr>
          <w:rFonts w:ascii="宋体" w:hAnsi="宋体" w:cs="宋体"/>
          <w:color w:val="auto"/>
          <w:szCs w:val="21"/>
          <w:highlight w:val="none"/>
          <w:lang w:val="zh-CN"/>
        </w:rPr>
      </w:pPr>
      <w:r>
        <w:rPr>
          <w:rFonts w:hint="eastAsia" w:ascii="宋体" w:hAnsi="宋体" w:cs="宋体"/>
          <w:color w:val="auto"/>
          <w:szCs w:val="21"/>
          <w:highlight w:val="none"/>
          <w:lang w:val="zh-CN"/>
        </w:rPr>
        <w:t>当出现以下情况时，应对未开标的项目中止电子开标，对原有资料及信息作出妥善保密处理，并在恢复正常后及时安排时间开标：</w:t>
      </w:r>
    </w:p>
    <w:p w14:paraId="5721E5CA">
      <w:pPr>
        <w:spacing w:line="360" w:lineRule="auto"/>
        <w:ind w:firstLine="420" w:firstLineChars="200"/>
        <w:rPr>
          <w:rFonts w:hint="eastAsia" w:ascii="宋体" w:hAnsi="宋体" w:cs="宋体"/>
          <w:color w:val="auto"/>
          <w:szCs w:val="21"/>
          <w:highlight w:val="none"/>
          <w:lang w:val="zh-CN"/>
        </w:rPr>
      </w:pPr>
      <w:r>
        <w:rPr>
          <w:rFonts w:hint="eastAsia" w:ascii="宋体" w:hAnsi="宋体" w:cs="宋体"/>
          <w:color w:val="auto"/>
          <w:szCs w:val="21"/>
          <w:highlight w:val="none"/>
          <w:lang w:val="zh-CN"/>
        </w:rPr>
        <w:t>(l）系统服务器发生故障，无法访问或无法使用系统；</w:t>
      </w:r>
    </w:p>
    <w:p w14:paraId="4F0102F7">
      <w:pPr>
        <w:spacing w:line="360" w:lineRule="auto"/>
        <w:ind w:firstLine="420" w:firstLineChars="200"/>
        <w:rPr>
          <w:rFonts w:hint="eastAsia" w:ascii="宋体" w:hAnsi="宋体" w:cs="宋体"/>
          <w:color w:val="auto"/>
          <w:szCs w:val="21"/>
          <w:highlight w:val="none"/>
          <w:lang w:val="zh-CN"/>
        </w:rPr>
      </w:pPr>
      <w:r>
        <w:rPr>
          <w:rFonts w:hint="eastAsia" w:ascii="宋体" w:hAnsi="宋体" w:cs="宋体"/>
          <w:color w:val="auto"/>
          <w:szCs w:val="21"/>
          <w:highlight w:val="none"/>
          <w:lang w:val="zh-CN"/>
        </w:rPr>
        <w:t>(2）系统的软件或数据库出现错误，不能进行正常操作；</w:t>
      </w:r>
    </w:p>
    <w:p w14:paraId="0166076D">
      <w:pPr>
        <w:spacing w:line="360" w:lineRule="auto"/>
        <w:ind w:firstLine="420" w:firstLineChars="200"/>
        <w:rPr>
          <w:rFonts w:hint="eastAsia" w:ascii="宋体" w:hAnsi="宋体" w:cs="宋体"/>
          <w:color w:val="auto"/>
          <w:szCs w:val="21"/>
          <w:highlight w:val="none"/>
          <w:lang w:val="zh-CN"/>
        </w:rPr>
      </w:pPr>
      <w:r>
        <w:rPr>
          <w:rFonts w:hint="eastAsia" w:ascii="宋体" w:hAnsi="宋体" w:cs="宋体"/>
          <w:color w:val="auto"/>
          <w:szCs w:val="21"/>
          <w:highlight w:val="none"/>
          <w:lang w:val="zh-CN"/>
        </w:rPr>
        <w:t>(3）系统发现有安全漏洞，有潜在的泄密危险；</w:t>
      </w:r>
    </w:p>
    <w:p w14:paraId="71342B0F">
      <w:pPr>
        <w:spacing w:line="360" w:lineRule="auto"/>
        <w:ind w:firstLine="420" w:firstLineChars="200"/>
        <w:rPr>
          <w:rFonts w:ascii="宋体" w:hAnsi="宋体" w:cs="宋体"/>
          <w:color w:val="auto"/>
          <w:szCs w:val="21"/>
          <w:highlight w:val="none"/>
          <w:lang w:val="zh-CN"/>
        </w:rPr>
      </w:pPr>
      <w:r>
        <w:rPr>
          <w:rFonts w:hint="eastAsia" w:ascii="宋体" w:hAnsi="宋体" w:cs="宋体"/>
          <w:color w:val="auto"/>
          <w:szCs w:val="21"/>
          <w:highlight w:val="none"/>
          <w:lang w:val="zh-CN"/>
        </w:rPr>
        <w:t>（</w:t>
      </w:r>
      <w:r>
        <w:rPr>
          <w:rFonts w:hint="eastAsia" w:ascii="宋体" w:hAnsi="宋体" w:cs="宋体"/>
          <w:color w:val="auto"/>
          <w:szCs w:val="21"/>
          <w:highlight w:val="none"/>
        </w:rPr>
        <w:t>4</w:t>
      </w:r>
      <w:r>
        <w:rPr>
          <w:rFonts w:hint="eastAsia" w:ascii="宋体" w:hAnsi="宋体" w:cs="宋体"/>
          <w:color w:val="auto"/>
          <w:szCs w:val="21"/>
          <w:highlight w:val="none"/>
          <w:lang w:val="zh-CN"/>
        </w:rPr>
        <w:t>）出现断电事故且短时间内无法恢复供电；</w:t>
      </w:r>
    </w:p>
    <w:p w14:paraId="696C00A8">
      <w:pPr>
        <w:spacing w:line="360" w:lineRule="auto"/>
        <w:ind w:firstLine="420" w:firstLineChars="200"/>
        <w:rPr>
          <w:rFonts w:ascii="宋体" w:hAnsi="宋体" w:cs="宋体"/>
          <w:color w:val="auto"/>
          <w:szCs w:val="21"/>
          <w:highlight w:val="none"/>
          <w:lang w:val="zh-CN"/>
        </w:rPr>
      </w:pPr>
      <w:r>
        <w:rPr>
          <w:rFonts w:hint="eastAsia" w:ascii="宋体" w:hAnsi="宋体" w:cs="宋体"/>
          <w:color w:val="auto"/>
          <w:szCs w:val="21"/>
          <w:highlight w:val="none"/>
        </w:rPr>
        <w:t>（5）</w:t>
      </w:r>
      <w:r>
        <w:rPr>
          <w:rFonts w:hint="eastAsia" w:ascii="宋体" w:hAnsi="宋体" w:cs="宋体"/>
          <w:color w:val="auto"/>
          <w:szCs w:val="21"/>
          <w:highlight w:val="none"/>
          <w:lang w:val="zh-CN"/>
        </w:rPr>
        <w:t>其他无法保证招投标过程正常进行的情形；</w:t>
      </w:r>
    </w:p>
    <w:p w14:paraId="65CE35CB">
      <w:pPr>
        <w:spacing w:line="360" w:lineRule="auto"/>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5.</w:t>
      </w:r>
      <w:bookmarkStart w:id="152" w:name="_Toc13445"/>
      <w:bookmarkStart w:id="153" w:name="_Toc9927"/>
      <w:r>
        <w:rPr>
          <w:rFonts w:hint="eastAsia" w:ascii="宋体" w:hAnsi="宋体" w:cs="宋体"/>
          <w:b/>
          <w:bCs/>
          <w:color w:val="auto"/>
          <w:szCs w:val="21"/>
          <w:highlight w:val="none"/>
        </w:rPr>
        <w:t>5.资格审查工作</w:t>
      </w:r>
      <w:bookmarkEnd w:id="152"/>
      <w:bookmarkEnd w:id="153"/>
    </w:p>
    <w:p w14:paraId="2B86674D">
      <w:pPr>
        <w:spacing w:line="360" w:lineRule="auto"/>
        <w:ind w:firstLine="420" w:firstLineChars="200"/>
        <w:rPr>
          <w:rFonts w:ascii="宋体" w:hAnsi="宋体" w:cs="宋体"/>
          <w:color w:val="auto"/>
          <w:szCs w:val="21"/>
          <w:highlight w:val="none"/>
        </w:rPr>
      </w:pPr>
      <w:bookmarkStart w:id="154" w:name="_Toc22488"/>
      <w:bookmarkStart w:id="155" w:name="_Toc18888"/>
      <w:bookmarkStart w:id="156" w:name="_Toc18806"/>
      <w:bookmarkStart w:id="157" w:name="_Toc25448"/>
      <w:bookmarkStart w:id="158" w:name="_Toc18803"/>
      <w:bookmarkStart w:id="159" w:name="_Toc25275"/>
      <w:bookmarkStart w:id="160" w:name="_Toc15919"/>
      <w:r>
        <w:rPr>
          <w:rFonts w:hint="eastAsia" w:ascii="宋体" w:hAnsi="宋体" w:cs="宋体"/>
          <w:color w:val="auto"/>
          <w:szCs w:val="21"/>
          <w:highlight w:val="none"/>
          <w:lang w:val="zh-CN"/>
        </w:rPr>
        <w:t>采购人或代理机构根据有关法律法规和招标文件的规定，对供应商的资格进行审查，审查每个供应商提交的资格证明材料是否齐全、完整、合法、有效。资格性审查通过不足3家的，将不再进行下一步评审。</w:t>
      </w:r>
      <w:bookmarkEnd w:id="154"/>
      <w:bookmarkEnd w:id="155"/>
      <w:bookmarkEnd w:id="156"/>
      <w:bookmarkEnd w:id="157"/>
      <w:bookmarkEnd w:id="158"/>
      <w:bookmarkEnd w:id="159"/>
      <w:bookmarkEnd w:id="160"/>
    </w:p>
    <w:p w14:paraId="3E9C31DC">
      <w:pPr>
        <w:spacing w:line="360" w:lineRule="auto"/>
        <w:ind w:firstLine="422" w:firstLineChars="200"/>
        <w:rPr>
          <w:rFonts w:ascii="宋体" w:hAnsi="宋体" w:cs="宋体"/>
          <w:b/>
          <w:bCs/>
          <w:color w:val="auto"/>
          <w:szCs w:val="21"/>
          <w:highlight w:val="none"/>
        </w:rPr>
      </w:pPr>
      <w:bookmarkStart w:id="161" w:name="_Toc10388"/>
      <w:bookmarkStart w:id="162" w:name="_Toc28750"/>
      <w:bookmarkStart w:id="163" w:name="_Toc6889"/>
      <w:r>
        <w:rPr>
          <w:rFonts w:hint="eastAsia" w:ascii="宋体" w:hAnsi="宋体" w:cs="宋体"/>
          <w:b/>
          <w:bCs/>
          <w:color w:val="auto"/>
          <w:szCs w:val="21"/>
          <w:highlight w:val="none"/>
        </w:rPr>
        <w:t>6. 评标</w:t>
      </w:r>
      <w:bookmarkEnd w:id="146"/>
      <w:bookmarkEnd w:id="147"/>
      <w:bookmarkEnd w:id="148"/>
      <w:bookmarkEnd w:id="149"/>
      <w:bookmarkEnd w:id="161"/>
      <w:bookmarkEnd w:id="162"/>
      <w:bookmarkEnd w:id="163"/>
    </w:p>
    <w:p w14:paraId="4353701E">
      <w:pPr>
        <w:spacing w:line="360" w:lineRule="auto"/>
        <w:ind w:firstLine="422" w:firstLineChars="200"/>
        <w:rPr>
          <w:rFonts w:ascii="宋体" w:hAnsi="宋体" w:cs="宋体"/>
          <w:b/>
          <w:bCs/>
          <w:color w:val="auto"/>
          <w:szCs w:val="21"/>
          <w:highlight w:val="none"/>
        </w:rPr>
      </w:pPr>
      <w:bookmarkStart w:id="164" w:name="_Toc274249606"/>
      <w:bookmarkStart w:id="165" w:name="_Toc403122523"/>
      <w:bookmarkStart w:id="166" w:name="_Toc426369513"/>
      <w:bookmarkStart w:id="167" w:name="_Toc279599802"/>
      <w:r>
        <w:rPr>
          <w:rFonts w:hint="eastAsia" w:ascii="宋体" w:hAnsi="宋体" w:cs="宋体"/>
          <w:b/>
          <w:bCs/>
          <w:color w:val="auto"/>
          <w:szCs w:val="21"/>
          <w:highlight w:val="none"/>
        </w:rPr>
        <w:t>6.1 评标委员会</w:t>
      </w:r>
      <w:bookmarkEnd w:id="164"/>
      <w:bookmarkEnd w:id="165"/>
      <w:bookmarkEnd w:id="166"/>
      <w:bookmarkEnd w:id="167"/>
    </w:p>
    <w:p w14:paraId="2C5418E5">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6.1.1  评标由采购人依法组建的评标委员会负责。评标委员会由采购人代表和评审专家组成。评标委员会成员人数以及评审专家的确定方式见供应商须知前附表。</w:t>
      </w:r>
    </w:p>
    <w:p w14:paraId="6E24C33A">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6.1.2  评标委员会成员有下列情形之一的，应当回避： </w:t>
      </w:r>
    </w:p>
    <w:p w14:paraId="144132DD">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（1）采购人或供应商的主要负责人的近亲属； </w:t>
      </w:r>
    </w:p>
    <w:p w14:paraId="3E769F7D">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（2）项目主管部门或者行政监督部门的人员； </w:t>
      </w:r>
    </w:p>
    <w:p w14:paraId="58D61153">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（3）与供应商有经济利益关系，可能影响对投标公正评审的； </w:t>
      </w:r>
    </w:p>
    <w:p w14:paraId="3EB21220">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（4）曾因在招标、评标以及其他与招标投标有关活动中从事违法行为而受过行政处罚或刑事处罚的。 </w:t>
      </w:r>
    </w:p>
    <w:p w14:paraId="10AA40D0">
      <w:pPr>
        <w:spacing w:line="360" w:lineRule="auto"/>
        <w:ind w:firstLine="422" w:firstLineChars="200"/>
        <w:rPr>
          <w:rFonts w:ascii="宋体" w:hAnsi="宋体" w:cs="宋体"/>
          <w:b/>
          <w:bCs/>
          <w:color w:val="auto"/>
          <w:szCs w:val="21"/>
          <w:highlight w:val="none"/>
        </w:rPr>
      </w:pPr>
      <w:bookmarkStart w:id="168" w:name="_Toc403122524"/>
      <w:bookmarkStart w:id="169" w:name="_Toc426369514"/>
      <w:bookmarkStart w:id="170" w:name="_Toc279599803"/>
      <w:bookmarkStart w:id="171" w:name="_Toc274249607"/>
      <w:r>
        <w:rPr>
          <w:rFonts w:hint="eastAsia" w:ascii="宋体" w:hAnsi="宋体" w:cs="宋体"/>
          <w:b/>
          <w:bCs/>
          <w:color w:val="auto"/>
          <w:szCs w:val="21"/>
          <w:highlight w:val="none"/>
        </w:rPr>
        <w:t>6.2 评标原则</w:t>
      </w:r>
      <w:bookmarkEnd w:id="168"/>
      <w:bookmarkEnd w:id="169"/>
      <w:bookmarkEnd w:id="170"/>
      <w:bookmarkEnd w:id="171"/>
    </w:p>
    <w:p w14:paraId="4FAAA63B">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评标活动遵循公平、公正、科学和择优的原则。 </w:t>
      </w:r>
    </w:p>
    <w:p w14:paraId="167750F9">
      <w:pPr>
        <w:spacing w:line="360" w:lineRule="auto"/>
        <w:ind w:firstLine="422" w:firstLineChars="200"/>
        <w:rPr>
          <w:rFonts w:ascii="宋体" w:hAnsi="宋体" w:cs="宋体"/>
          <w:color w:val="auto"/>
          <w:szCs w:val="21"/>
          <w:highlight w:val="none"/>
        </w:rPr>
      </w:pPr>
      <w:bookmarkStart w:id="172" w:name="_Toc274249608"/>
      <w:bookmarkStart w:id="173" w:name="_Toc426369515"/>
      <w:bookmarkStart w:id="174" w:name="_Toc279599804"/>
      <w:bookmarkStart w:id="175" w:name="_Toc403122525"/>
      <w:r>
        <w:rPr>
          <w:rFonts w:hint="eastAsia" w:ascii="宋体" w:hAnsi="宋体" w:cs="宋体"/>
          <w:b/>
          <w:bCs/>
          <w:color w:val="auto"/>
          <w:szCs w:val="21"/>
          <w:highlight w:val="none"/>
        </w:rPr>
        <w:t>6.3 评标</w:t>
      </w:r>
      <w:bookmarkEnd w:id="172"/>
      <w:bookmarkEnd w:id="173"/>
      <w:bookmarkEnd w:id="174"/>
      <w:bookmarkEnd w:id="175"/>
    </w:p>
    <w:p w14:paraId="10BEA909">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6.3.1在评审过程中，评标委员会发现投标人有下列情形之一的，视为投标人相互串通投标，按照无效投标处理并依据法律、法规追究其相关责任。具体表现形式如下：</w:t>
      </w:r>
    </w:p>
    <w:p w14:paraId="3200FE63">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 同投标人的投标文件由同一单位或者个人编制；</w:t>
      </w:r>
    </w:p>
    <w:p w14:paraId="5FFC0A7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（2）不同投标人委托同一单位或者个人办理投标事宜；</w:t>
      </w:r>
    </w:p>
    <w:p w14:paraId="0EED810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（3）不同投标人的投标文件载明的项目管理成员或者联系人员为同一人；</w:t>
      </w:r>
    </w:p>
    <w:p w14:paraId="2AB2AFB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（4）不同投标人的投标文件异常一致或者投标报价呈规律性差异；</w:t>
      </w:r>
    </w:p>
    <w:p w14:paraId="2769AB3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（5）不同投标人的投标文件相互混装；</w:t>
      </w:r>
    </w:p>
    <w:p w14:paraId="2348B4C9">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（6）有证据证明投标人与采购人、采购代理机构或者其他投标人串通的其他情形；</w:t>
      </w:r>
    </w:p>
    <w:p w14:paraId="25ACA9F2">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6.3.2评标委员会应当按照招标文件中规定的评标方法和标准，对符合性审查合格的投标文件进行商务和技术评估，综合比较与评价。招标文件没有规定的评标方法、评审因素和标准，不作为评标依据。</w:t>
      </w:r>
    </w:p>
    <w:p w14:paraId="7BB65E5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6.3.3评标时，评标委员会各成员应当独立对每个投标人的投标文件进行评价，并汇总每个投标人的得分。</w:t>
      </w:r>
    </w:p>
    <w:p w14:paraId="201ACF57">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评标完成后，评标委员会应当向采购人提交书面评标报告和中标候选人名单。评标委员会推荐中标候选人的人数见投标人须知前附表。</w:t>
      </w:r>
    </w:p>
    <w:p w14:paraId="4E44933E">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6.3.3 评标委员会负责具体评标事务，并独立履行下列职责：</w:t>
      </w:r>
    </w:p>
    <w:p w14:paraId="4EBCBFAA">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（1）审查、评价投标文件是否符合招标文件的实质性要求；</w:t>
      </w:r>
    </w:p>
    <w:p w14:paraId="7C359806">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（2）要求投标人对投标文件有关事项作出澄清或者说明；</w:t>
      </w:r>
    </w:p>
    <w:p w14:paraId="68BF8A71">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（3）对投标文件进行比较和评价；</w:t>
      </w:r>
    </w:p>
    <w:p w14:paraId="4007F82A">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（4）确定中标候选人名单；</w:t>
      </w:r>
    </w:p>
    <w:p w14:paraId="0B6867E7">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（5）向采购人、采购代理机构或者有关部门报告评标中发现的违法行为。</w:t>
      </w:r>
    </w:p>
    <w:p w14:paraId="688E930E">
      <w:pPr>
        <w:spacing w:line="360" w:lineRule="auto"/>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6.4  废标</w:t>
      </w:r>
    </w:p>
    <w:p w14:paraId="10A75FA2">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招标采购中，出现下列情形之一的，应予废标：</w:t>
      </w:r>
    </w:p>
    <w:p w14:paraId="332DC4B9">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（1）符合专业条件的投标人或者对招标文件作实质响应的投标人不足三家的；</w:t>
      </w:r>
    </w:p>
    <w:p w14:paraId="52B0589F">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（2）出现影响采购公正的违法、违规行为的；</w:t>
      </w:r>
    </w:p>
    <w:p w14:paraId="629124AB">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（3）投标人的报价均超过了采购预算，采购人不能支付的；</w:t>
      </w:r>
    </w:p>
    <w:p w14:paraId="571B7C0A">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（4）因重大变故，采购任务取消的。废标后，采购人应当将废标理由通知所有投标人。</w:t>
      </w:r>
    </w:p>
    <w:p w14:paraId="5264B973">
      <w:pPr>
        <w:spacing w:line="360" w:lineRule="auto"/>
        <w:ind w:firstLine="422" w:firstLineChars="200"/>
        <w:rPr>
          <w:rFonts w:ascii="宋体" w:hAnsi="宋体" w:cs="宋体"/>
          <w:b/>
          <w:bCs/>
          <w:color w:val="auto"/>
          <w:szCs w:val="21"/>
          <w:highlight w:val="none"/>
        </w:rPr>
      </w:pPr>
      <w:bookmarkStart w:id="176" w:name="_Toc17811"/>
      <w:bookmarkStart w:id="177" w:name="_Toc844"/>
      <w:bookmarkStart w:id="178" w:name="_Toc426369516"/>
      <w:bookmarkStart w:id="179" w:name="_Toc20316"/>
      <w:bookmarkStart w:id="180" w:name="_Toc403122526"/>
      <w:bookmarkStart w:id="181" w:name="_Toc26569"/>
      <w:bookmarkStart w:id="182" w:name="_Toc22968"/>
      <w:r>
        <w:rPr>
          <w:rFonts w:hint="eastAsia" w:ascii="宋体" w:hAnsi="宋体" w:cs="宋体"/>
          <w:b/>
          <w:bCs/>
          <w:color w:val="auto"/>
          <w:szCs w:val="21"/>
          <w:highlight w:val="none"/>
        </w:rPr>
        <w:t>7. 合同授予</w:t>
      </w:r>
      <w:bookmarkEnd w:id="176"/>
      <w:bookmarkEnd w:id="177"/>
      <w:bookmarkEnd w:id="178"/>
      <w:bookmarkEnd w:id="179"/>
      <w:bookmarkEnd w:id="180"/>
      <w:bookmarkEnd w:id="181"/>
      <w:bookmarkEnd w:id="182"/>
    </w:p>
    <w:p w14:paraId="15AF7EFC">
      <w:pPr>
        <w:spacing w:line="360" w:lineRule="auto"/>
        <w:ind w:firstLine="422" w:firstLineChars="200"/>
        <w:rPr>
          <w:rFonts w:ascii="宋体" w:hAnsi="宋体" w:cs="宋体"/>
          <w:b/>
          <w:bCs/>
          <w:color w:val="auto"/>
          <w:szCs w:val="21"/>
          <w:highlight w:val="none"/>
        </w:rPr>
      </w:pPr>
      <w:bookmarkStart w:id="183" w:name="_Toc274249610"/>
      <w:bookmarkStart w:id="184" w:name="_Toc403122527"/>
      <w:bookmarkStart w:id="185" w:name="_Toc279599806"/>
      <w:bookmarkStart w:id="186" w:name="_Toc426369517"/>
      <w:r>
        <w:rPr>
          <w:rFonts w:hint="eastAsia" w:ascii="宋体" w:hAnsi="宋体" w:cs="宋体"/>
          <w:b/>
          <w:bCs/>
          <w:color w:val="auto"/>
          <w:szCs w:val="21"/>
          <w:highlight w:val="none"/>
        </w:rPr>
        <w:t>7.1 定标方式</w:t>
      </w:r>
      <w:bookmarkEnd w:id="183"/>
      <w:bookmarkEnd w:id="184"/>
      <w:bookmarkEnd w:id="185"/>
      <w:bookmarkEnd w:id="186"/>
    </w:p>
    <w:p w14:paraId="36626E4B">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7.1.1采购人依据评标委员会推荐的中标候选人确定中标人，评标委员会推荐中标人候选人的人数见供应商须知前附表。</w:t>
      </w:r>
    </w:p>
    <w:p w14:paraId="7FDEE69B">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7.1.2 中标或者成交投标人拒绝与采购人签订合同的，采购人可以按照评审报告推荐的中标或者成交候选人名单排序，确定下一候选人为中标或者成交投标人，也可以重新开展政府采购活动。</w:t>
      </w:r>
    </w:p>
    <w:p w14:paraId="6CBB2C4A">
      <w:pPr>
        <w:spacing w:line="360" w:lineRule="auto"/>
        <w:ind w:firstLine="422" w:firstLineChars="200"/>
        <w:rPr>
          <w:rFonts w:ascii="宋体" w:hAnsi="宋体" w:cs="宋体"/>
          <w:b/>
          <w:bCs/>
          <w:color w:val="auto"/>
          <w:szCs w:val="21"/>
          <w:highlight w:val="none"/>
        </w:rPr>
      </w:pPr>
      <w:bookmarkStart w:id="187" w:name="_Toc274249611"/>
      <w:bookmarkStart w:id="188" w:name="_Toc426369518"/>
      <w:bookmarkStart w:id="189" w:name="_Toc279599807"/>
      <w:bookmarkStart w:id="190" w:name="_Toc403122528"/>
      <w:r>
        <w:rPr>
          <w:rFonts w:hint="eastAsia" w:ascii="宋体" w:hAnsi="宋体" w:cs="宋体"/>
          <w:b/>
          <w:bCs/>
          <w:color w:val="auto"/>
          <w:szCs w:val="21"/>
          <w:highlight w:val="none"/>
        </w:rPr>
        <w:t>7.2 中标通知</w:t>
      </w:r>
      <w:bookmarkEnd w:id="187"/>
      <w:bookmarkEnd w:id="188"/>
      <w:bookmarkEnd w:id="189"/>
      <w:bookmarkEnd w:id="190"/>
    </w:p>
    <w:p w14:paraId="0213DB31">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7.2.1 在本章第3.3款规定的投标有效期内，采购人以书面形式向中标人发出中标通知书，同时将中标结果通知未中标的投标人。 </w:t>
      </w:r>
    </w:p>
    <w:p w14:paraId="0606BD6E">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7.2.2中标人在领取中标通知书后应及时到相关部门办理中标后的备案手续。</w:t>
      </w:r>
    </w:p>
    <w:p w14:paraId="77B79353">
      <w:pPr>
        <w:spacing w:line="360" w:lineRule="auto"/>
        <w:ind w:firstLine="422" w:firstLineChars="200"/>
        <w:rPr>
          <w:rFonts w:ascii="宋体" w:hAnsi="宋体" w:cs="宋体"/>
          <w:b/>
          <w:bCs/>
          <w:color w:val="auto"/>
          <w:szCs w:val="21"/>
          <w:highlight w:val="none"/>
        </w:rPr>
      </w:pPr>
      <w:bookmarkStart w:id="191" w:name="_Toc311550376"/>
      <w:bookmarkStart w:id="192" w:name="_Toc274249612"/>
      <w:bookmarkStart w:id="193" w:name="_Toc279599808"/>
      <w:bookmarkStart w:id="194" w:name="_Toc403122529"/>
      <w:bookmarkStart w:id="195" w:name="_Toc426369519"/>
      <w:r>
        <w:rPr>
          <w:rFonts w:hint="eastAsia" w:ascii="宋体" w:hAnsi="宋体" w:cs="宋体"/>
          <w:b/>
          <w:bCs/>
          <w:color w:val="auto"/>
          <w:szCs w:val="21"/>
          <w:highlight w:val="none"/>
        </w:rPr>
        <w:t>7.3履约</w:t>
      </w:r>
      <w:bookmarkEnd w:id="191"/>
      <w:bookmarkEnd w:id="192"/>
      <w:bookmarkEnd w:id="193"/>
      <w:r>
        <w:rPr>
          <w:rFonts w:hint="eastAsia" w:ascii="宋体" w:hAnsi="宋体" w:cs="宋体"/>
          <w:b/>
          <w:bCs/>
          <w:color w:val="auto"/>
          <w:szCs w:val="21"/>
          <w:highlight w:val="none"/>
        </w:rPr>
        <w:t>保证金</w:t>
      </w:r>
      <w:bookmarkEnd w:id="194"/>
      <w:bookmarkEnd w:id="195"/>
    </w:p>
    <w:p w14:paraId="57D06B99">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7.3.1履约保证金：无</w:t>
      </w:r>
    </w:p>
    <w:p w14:paraId="763CB7BB">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7.3.2投标保证金：无</w:t>
      </w:r>
    </w:p>
    <w:p w14:paraId="37F7E389">
      <w:pPr>
        <w:spacing w:line="360" w:lineRule="auto"/>
        <w:ind w:firstLine="422" w:firstLineChars="200"/>
        <w:rPr>
          <w:rFonts w:ascii="宋体" w:hAnsi="宋体" w:cs="宋体"/>
          <w:b/>
          <w:bCs/>
          <w:color w:val="auto"/>
          <w:szCs w:val="21"/>
          <w:highlight w:val="none"/>
        </w:rPr>
      </w:pPr>
      <w:bookmarkStart w:id="196" w:name="_Toc426369520"/>
      <w:bookmarkStart w:id="197" w:name="_Toc403122530"/>
      <w:bookmarkStart w:id="198" w:name="_Toc274249613"/>
      <w:bookmarkStart w:id="199" w:name="_Toc279599809"/>
      <w:r>
        <w:rPr>
          <w:rFonts w:hint="eastAsia" w:ascii="宋体" w:hAnsi="宋体" w:cs="宋体"/>
          <w:b/>
          <w:bCs/>
          <w:color w:val="auto"/>
          <w:szCs w:val="21"/>
          <w:highlight w:val="none"/>
        </w:rPr>
        <w:t>7.4 签订合同</w:t>
      </w:r>
      <w:bookmarkEnd w:id="196"/>
      <w:bookmarkEnd w:id="197"/>
      <w:bookmarkEnd w:id="198"/>
      <w:bookmarkEnd w:id="199"/>
    </w:p>
    <w:p w14:paraId="7653CD4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7.4.1  中标人的投标报价为中标价，中标价即为合同价。采购人和中标人应当自中标通知书发出之日起15日内，根据招标文件和中标人的投标文件订立书面合同。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分之十以下罚款，将其列入不良行为记录名单，在1至3年内禁止参加政府采购活动，并予以通报。</w:t>
      </w:r>
    </w:p>
    <w:p w14:paraId="1D55C735">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7.4.2  发出中标通知书后，采购人无正当理由拒签合同的，给中标人造成损失的，还应当赔偿损失。</w:t>
      </w:r>
    </w:p>
    <w:p w14:paraId="433F4718">
      <w:pPr>
        <w:spacing w:line="360" w:lineRule="auto"/>
        <w:ind w:firstLine="422" w:firstLineChars="200"/>
        <w:rPr>
          <w:rFonts w:ascii="宋体" w:hAnsi="宋体" w:cs="宋体"/>
          <w:b/>
          <w:bCs/>
          <w:color w:val="auto"/>
          <w:szCs w:val="21"/>
          <w:highlight w:val="none"/>
        </w:rPr>
      </w:pPr>
      <w:bookmarkStart w:id="200" w:name="_Toc403122531"/>
      <w:bookmarkStart w:id="201" w:name="_Toc426369521"/>
      <w:bookmarkStart w:id="202" w:name="_Toc12657"/>
      <w:bookmarkStart w:id="203" w:name="_Toc10417"/>
      <w:bookmarkStart w:id="204" w:name="_Toc10541"/>
      <w:bookmarkStart w:id="205" w:name="_Toc30009"/>
      <w:bookmarkStart w:id="206" w:name="_Toc6284"/>
      <w:r>
        <w:rPr>
          <w:rFonts w:hint="eastAsia" w:ascii="宋体" w:hAnsi="宋体" w:cs="宋体"/>
          <w:b/>
          <w:bCs/>
          <w:color w:val="auto"/>
          <w:szCs w:val="21"/>
          <w:highlight w:val="none"/>
        </w:rPr>
        <w:t>8. 重新招标</w:t>
      </w:r>
      <w:bookmarkEnd w:id="200"/>
      <w:bookmarkEnd w:id="201"/>
      <w:bookmarkEnd w:id="202"/>
      <w:bookmarkEnd w:id="203"/>
      <w:bookmarkEnd w:id="204"/>
      <w:bookmarkEnd w:id="205"/>
      <w:bookmarkEnd w:id="206"/>
    </w:p>
    <w:p w14:paraId="4327D87D">
      <w:pPr>
        <w:spacing w:line="360" w:lineRule="auto"/>
        <w:ind w:firstLine="422" w:firstLineChars="200"/>
        <w:rPr>
          <w:rFonts w:ascii="宋体" w:hAnsi="宋体" w:cs="宋体"/>
          <w:b/>
          <w:bCs/>
          <w:color w:val="auto"/>
          <w:szCs w:val="21"/>
          <w:highlight w:val="none"/>
        </w:rPr>
      </w:pPr>
      <w:bookmarkStart w:id="207" w:name="_Toc426369522"/>
      <w:bookmarkStart w:id="208" w:name="_Toc274249615"/>
      <w:bookmarkStart w:id="209" w:name="_Toc279599811"/>
      <w:bookmarkStart w:id="210" w:name="_Toc403122532"/>
      <w:r>
        <w:rPr>
          <w:rFonts w:hint="eastAsia" w:ascii="宋体" w:hAnsi="宋体" w:cs="宋体"/>
          <w:b/>
          <w:bCs/>
          <w:color w:val="auto"/>
          <w:szCs w:val="21"/>
          <w:highlight w:val="none"/>
        </w:rPr>
        <w:t>8.1 重新招标</w:t>
      </w:r>
      <w:bookmarkEnd w:id="207"/>
      <w:bookmarkEnd w:id="208"/>
      <w:bookmarkEnd w:id="209"/>
      <w:bookmarkEnd w:id="210"/>
    </w:p>
    <w:p w14:paraId="6CBDFAF9">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有下列情形之一的，采购人将重新招标： </w:t>
      </w:r>
    </w:p>
    <w:p w14:paraId="662F1E59">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（1）投标截止时间止，供应商少于3个的； </w:t>
      </w:r>
    </w:p>
    <w:p w14:paraId="2554AB83">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（2）经评标委员会评审后否决所有投标的。 </w:t>
      </w:r>
    </w:p>
    <w:p w14:paraId="78034239">
      <w:pPr>
        <w:spacing w:line="360" w:lineRule="auto"/>
        <w:ind w:firstLine="422" w:firstLineChars="200"/>
        <w:rPr>
          <w:rFonts w:ascii="宋体" w:hAnsi="宋体" w:cs="宋体"/>
          <w:b/>
          <w:bCs/>
          <w:color w:val="auto"/>
          <w:szCs w:val="21"/>
          <w:highlight w:val="none"/>
        </w:rPr>
      </w:pPr>
      <w:bookmarkStart w:id="211" w:name="_Toc426369523"/>
      <w:bookmarkStart w:id="212" w:name="_Toc403122533"/>
      <w:bookmarkStart w:id="213" w:name="_Toc14359"/>
      <w:bookmarkStart w:id="214" w:name="_Toc27398"/>
      <w:bookmarkStart w:id="215" w:name="_Toc10372"/>
      <w:bookmarkStart w:id="216" w:name="_Toc25365"/>
      <w:bookmarkStart w:id="217" w:name="_Toc3760"/>
      <w:r>
        <w:rPr>
          <w:rFonts w:hint="eastAsia" w:ascii="宋体" w:hAnsi="宋体" w:cs="宋体"/>
          <w:b/>
          <w:bCs/>
          <w:color w:val="auto"/>
          <w:szCs w:val="21"/>
          <w:highlight w:val="none"/>
        </w:rPr>
        <w:t>9. 纪律和监督</w:t>
      </w:r>
      <w:bookmarkEnd w:id="211"/>
      <w:bookmarkEnd w:id="212"/>
      <w:bookmarkEnd w:id="213"/>
      <w:bookmarkEnd w:id="214"/>
      <w:bookmarkEnd w:id="215"/>
      <w:bookmarkEnd w:id="216"/>
      <w:bookmarkEnd w:id="217"/>
    </w:p>
    <w:p w14:paraId="396D5410">
      <w:pPr>
        <w:spacing w:line="360" w:lineRule="auto"/>
        <w:ind w:firstLine="422" w:firstLineChars="200"/>
        <w:rPr>
          <w:rFonts w:ascii="宋体" w:hAnsi="宋体" w:cs="宋体"/>
          <w:b/>
          <w:bCs/>
          <w:color w:val="auto"/>
          <w:szCs w:val="21"/>
          <w:highlight w:val="none"/>
        </w:rPr>
      </w:pPr>
      <w:bookmarkStart w:id="218" w:name="_Toc426369524"/>
      <w:bookmarkStart w:id="219" w:name="_Toc403122534"/>
      <w:bookmarkStart w:id="220" w:name="_Toc279599814"/>
      <w:bookmarkStart w:id="221" w:name="_Toc274249618"/>
      <w:r>
        <w:rPr>
          <w:rFonts w:hint="eastAsia" w:ascii="宋体" w:hAnsi="宋体" w:cs="宋体"/>
          <w:b/>
          <w:bCs/>
          <w:color w:val="auto"/>
          <w:szCs w:val="21"/>
          <w:highlight w:val="none"/>
        </w:rPr>
        <w:t>9.1 对采购人的纪律要求</w:t>
      </w:r>
      <w:bookmarkEnd w:id="218"/>
      <w:bookmarkEnd w:id="219"/>
      <w:bookmarkEnd w:id="220"/>
      <w:bookmarkEnd w:id="221"/>
    </w:p>
    <w:p w14:paraId="61A73F3F">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采购人不得泄漏招标投标活动中应当保密的情况和资料，不得与供应商串通损害国家利益、社会公共利益或者他人合法权益。 </w:t>
      </w:r>
    </w:p>
    <w:p w14:paraId="71320D58">
      <w:pPr>
        <w:spacing w:line="360" w:lineRule="auto"/>
        <w:ind w:firstLine="422" w:firstLineChars="200"/>
        <w:rPr>
          <w:rFonts w:ascii="宋体" w:hAnsi="宋体" w:cs="宋体"/>
          <w:b/>
          <w:bCs/>
          <w:color w:val="auto"/>
          <w:szCs w:val="21"/>
          <w:highlight w:val="none"/>
        </w:rPr>
      </w:pPr>
      <w:bookmarkStart w:id="222" w:name="_Toc274249619"/>
      <w:bookmarkStart w:id="223" w:name="_Toc426369525"/>
      <w:bookmarkStart w:id="224" w:name="_Toc403122535"/>
      <w:bookmarkStart w:id="225" w:name="_Toc279599815"/>
      <w:r>
        <w:rPr>
          <w:rFonts w:hint="eastAsia" w:ascii="宋体" w:hAnsi="宋体" w:cs="宋体"/>
          <w:b/>
          <w:bCs/>
          <w:color w:val="auto"/>
          <w:szCs w:val="21"/>
          <w:highlight w:val="none"/>
        </w:rPr>
        <w:t>9.2 对投标人的纪律要求</w:t>
      </w:r>
      <w:bookmarkEnd w:id="222"/>
      <w:bookmarkEnd w:id="223"/>
      <w:bookmarkEnd w:id="224"/>
      <w:bookmarkEnd w:id="225"/>
    </w:p>
    <w:p w14:paraId="34624BE5">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供应商不得相互串通投标或者与采购人串通投标，不得向采购人或者评标委员会成员行贿谋取中标，不得以他人名义投标或者以其他方式弄虚作假骗取中标；供应商不得以任何方式干扰、影响评标工作。</w:t>
      </w:r>
    </w:p>
    <w:p w14:paraId="234414FA">
      <w:pPr>
        <w:spacing w:line="360" w:lineRule="auto"/>
        <w:ind w:firstLine="422" w:firstLineChars="200"/>
        <w:rPr>
          <w:rFonts w:ascii="宋体" w:hAnsi="宋体" w:cs="宋体"/>
          <w:b/>
          <w:bCs/>
          <w:color w:val="auto"/>
          <w:szCs w:val="21"/>
          <w:highlight w:val="none"/>
        </w:rPr>
      </w:pPr>
      <w:bookmarkStart w:id="226" w:name="_Toc426369526"/>
      <w:bookmarkStart w:id="227" w:name="_Toc403122536"/>
      <w:bookmarkStart w:id="228" w:name="_Toc279599816"/>
      <w:bookmarkStart w:id="229" w:name="_Toc274249620"/>
      <w:r>
        <w:rPr>
          <w:rFonts w:hint="eastAsia" w:ascii="宋体" w:hAnsi="宋体" w:cs="宋体"/>
          <w:b/>
          <w:bCs/>
          <w:color w:val="auto"/>
          <w:szCs w:val="21"/>
          <w:highlight w:val="none"/>
        </w:rPr>
        <w:t>9.3 对评标委员会成员的纪律要求</w:t>
      </w:r>
      <w:bookmarkEnd w:id="226"/>
      <w:bookmarkEnd w:id="227"/>
      <w:bookmarkEnd w:id="228"/>
      <w:bookmarkEnd w:id="229"/>
    </w:p>
    <w:p w14:paraId="568ACB3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 </w:t>
      </w:r>
    </w:p>
    <w:p w14:paraId="61D4ED2D">
      <w:pPr>
        <w:spacing w:line="360" w:lineRule="auto"/>
        <w:ind w:firstLine="422" w:firstLineChars="200"/>
        <w:rPr>
          <w:rFonts w:ascii="宋体" w:hAnsi="宋体" w:cs="宋体"/>
          <w:b/>
          <w:bCs/>
          <w:color w:val="auto"/>
          <w:szCs w:val="21"/>
          <w:highlight w:val="none"/>
        </w:rPr>
      </w:pPr>
      <w:bookmarkStart w:id="230" w:name="_Toc274249621"/>
      <w:bookmarkStart w:id="231" w:name="_Toc403122537"/>
      <w:bookmarkStart w:id="232" w:name="_Toc426369527"/>
      <w:bookmarkStart w:id="233" w:name="_Toc279599817"/>
      <w:r>
        <w:rPr>
          <w:rFonts w:hint="eastAsia" w:ascii="宋体" w:hAnsi="宋体" w:cs="宋体"/>
          <w:b/>
          <w:bCs/>
          <w:color w:val="auto"/>
          <w:szCs w:val="21"/>
          <w:highlight w:val="none"/>
        </w:rPr>
        <w:t>9.4 对与评标活动有关的工作人员的纪律要求</w:t>
      </w:r>
      <w:bookmarkEnd w:id="230"/>
      <w:bookmarkEnd w:id="231"/>
      <w:bookmarkEnd w:id="232"/>
      <w:bookmarkEnd w:id="233"/>
    </w:p>
    <w:p w14:paraId="7B8D8B53">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 </w:t>
      </w:r>
    </w:p>
    <w:p w14:paraId="6AB82A42">
      <w:pPr>
        <w:spacing w:line="360" w:lineRule="auto"/>
        <w:ind w:firstLine="422" w:firstLineChars="200"/>
        <w:rPr>
          <w:rFonts w:ascii="宋体" w:hAnsi="宋体" w:cs="宋体"/>
          <w:b/>
          <w:bCs/>
          <w:color w:val="auto"/>
          <w:szCs w:val="21"/>
          <w:highlight w:val="none"/>
        </w:rPr>
      </w:pPr>
      <w:bookmarkStart w:id="234" w:name="_Toc426369528"/>
      <w:bookmarkStart w:id="235" w:name="_Toc279599818"/>
      <w:bookmarkStart w:id="236" w:name="_Toc403122538"/>
      <w:bookmarkStart w:id="237" w:name="_Toc274249622"/>
      <w:r>
        <w:rPr>
          <w:rFonts w:hint="eastAsia" w:ascii="宋体" w:hAnsi="宋体" w:cs="宋体"/>
          <w:b/>
          <w:bCs/>
          <w:color w:val="auto"/>
          <w:szCs w:val="21"/>
          <w:highlight w:val="none"/>
        </w:rPr>
        <w:t>9.5 投诉</w:t>
      </w:r>
      <w:bookmarkEnd w:id="234"/>
      <w:bookmarkEnd w:id="235"/>
      <w:bookmarkEnd w:id="236"/>
      <w:bookmarkEnd w:id="237"/>
    </w:p>
    <w:p w14:paraId="472A426D">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供应商和其他利害关系人认为本次招标活动违反法律、法规和规章规定的，有权向有关行政监督部门投诉。 </w:t>
      </w:r>
    </w:p>
    <w:p w14:paraId="5F0A1596">
      <w:pPr>
        <w:spacing w:line="360" w:lineRule="auto"/>
        <w:ind w:firstLine="422" w:firstLineChars="200"/>
        <w:rPr>
          <w:rFonts w:ascii="宋体" w:hAnsi="宋体" w:cs="宋体"/>
          <w:b/>
          <w:bCs/>
          <w:color w:val="auto"/>
          <w:szCs w:val="21"/>
          <w:highlight w:val="none"/>
        </w:rPr>
      </w:pPr>
      <w:bookmarkStart w:id="238" w:name="_Toc403122539"/>
      <w:bookmarkStart w:id="239" w:name="_Toc13281"/>
      <w:bookmarkStart w:id="240" w:name="_Toc10880"/>
      <w:bookmarkStart w:id="241" w:name="_Toc13602"/>
      <w:bookmarkStart w:id="242" w:name="_Toc426369529"/>
      <w:bookmarkStart w:id="243" w:name="_Toc23962"/>
      <w:bookmarkStart w:id="244" w:name="_Toc25080"/>
      <w:r>
        <w:rPr>
          <w:rFonts w:hint="eastAsia" w:ascii="宋体" w:hAnsi="宋体" w:cs="宋体"/>
          <w:b/>
          <w:bCs/>
          <w:color w:val="auto"/>
          <w:szCs w:val="21"/>
          <w:highlight w:val="none"/>
        </w:rPr>
        <w:t>10. 需要补充的其他内容</w:t>
      </w:r>
      <w:bookmarkEnd w:id="238"/>
      <w:bookmarkEnd w:id="239"/>
      <w:bookmarkEnd w:id="240"/>
      <w:bookmarkEnd w:id="241"/>
      <w:bookmarkEnd w:id="242"/>
      <w:bookmarkEnd w:id="243"/>
      <w:bookmarkEnd w:id="244"/>
    </w:p>
    <w:p w14:paraId="6ECA9F5E">
      <w:pPr>
        <w:spacing w:line="360" w:lineRule="auto"/>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10.1 费用承担</w:t>
      </w:r>
    </w:p>
    <w:p w14:paraId="245EECCB">
      <w:pPr>
        <w:autoSpaceDE w:val="0"/>
        <w:autoSpaceDN w:val="0"/>
        <w:adjustRightIn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（1）无论投标结果如何，投标人应自行承担所有参与投标的全部费用，采购人和采购代理机构在任何情况下均无义务和责任承担上述费用。</w:t>
      </w:r>
    </w:p>
    <w:p w14:paraId="4FA185BF">
      <w:pPr>
        <w:autoSpaceDE w:val="0"/>
        <w:autoSpaceDN w:val="0"/>
        <w:adjustRightIn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（2）招标代理服务费由中标人支付。</w:t>
      </w:r>
    </w:p>
    <w:p w14:paraId="448D161B">
      <w:pPr>
        <w:autoSpaceDE w:val="0"/>
        <w:autoSpaceDN w:val="0"/>
        <w:adjustRightIn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（3）供应商与采购人签订合同后，将合同报采购代理机构备案。</w:t>
      </w:r>
    </w:p>
    <w:p w14:paraId="79CAB7EC">
      <w:pPr>
        <w:spacing w:line="360" w:lineRule="auto"/>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10.2本招标文件未尽事宜，按《中华人民共和国政府采购法》等法律法规的有关规定执行。</w:t>
      </w:r>
    </w:p>
    <w:p w14:paraId="3A4095CA">
      <w:pPr>
        <w:pStyle w:val="6"/>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br w:type="page"/>
      </w:r>
    </w:p>
    <w:p w14:paraId="2848D85F">
      <w:pPr>
        <w:pStyle w:val="24"/>
        <w:numPr>
          <w:ilvl w:val="0"/>
          <w:numId w:val="3"/>
        </w:numPr>
        <w:spacing w:line="600" w:lineRule="exact"/>
        <w:ind w:right="-63" w:rightChars="-30"/>
        <w:rPr>
          <w:rFonts w:hint="eastAsia" w:ascii="宋体" w:hAnsi="宋体" w:eastAsia="宋体" w:cs="宋体"/>
          <w:color w:val="auto"/>
          <w:sz w:val="28"/>
          <w:szCs w:val="28"/>
          <w:highlight w:val="none"/>
        </w:rPr>
      </w:pPr>
      <w:bookmarkStart w:id="245" w:name="_Toc28433"/>
      <w:bookmarkStart w:id="246" w:name="_Toc403122540"/>
      <w:bookmarkStart w:id="247" w:name="_Toc426369530"/>
      <w:bookmarkStart w:id="248" w:name="_Toc15006"/>
      <w:r>
        <w:rPr>
          <w:rFonts w:hint="eastAsia" w:ascii="宋体" w:hAnsi="宋体" w:eastAsia="宋体" w:cs="宋体"/>
          <w:color w:val="auto"/>
          <w:sz w:val="28"/>
          <w:szCs w:val="28"/>
          <w:highlight w:val="none"/>
        </w:rPr>
        <w:t>评标办法</w:t>
      </w:r>
      <w:bookmarkEnd w:id="245"/>
      <w:bookmarkEnd w:id="246"/>
      <w:bookmarkEnd w:id="247"/>
      <w:r>
        <w:rPr>
          <w:rFonts w:hint="eastAsia" w:ascii="宋体" w:hAnsi="宋体" w:eastAsia="宋体" w:cs="宋体"/>
          <w:color w:val="auto"/>
          <w:sz w:val="28"/>
          <w:szCs w:val="28"/>
          <w:highlight w:val="none"/>
        </w:rPr>
        <w:t>（综合评分法）</w:t>
      </w:r>
      <w:bookmarkEnd w:id="248"/>
    </w:p>
    <w:p w14:paraId="26D659BF">
      <w:pPr>
        <w:pStyle w:val="47"/>
        <w:widowControl w:val="0"/>
        <w:spacing w:line="360" w:lineRule="auto"/>
        <w:jc w:val="center"/>
        <w:rPr>
          <w:rFonts w:hint="eastAsia" w:ascii="宋体" w:hAnsi="宋体" w:cs="宋体"/>
          <w:b/>
          <w:bCs/>
          <w:color w:val="auto"/>
          <w:sz w:val="28"/>
          <w:szCs w:val="28"/>
          <w:highlight w:val="none"/>
          <w:lang w:eastAsia="zh-CN"/>
        </w:rPr>
      </w:pPr>
      <w:r>
        <w:rPr>
          <w:rFonts w:hint="eastAsia" w:ascii="宋体" w:hAnsi="宋体" w:cs="宋体"/>
          <w:b/>
          <w:bCs/>
          <w:color w:val="auto"/>
          <w:sz w:val="28"/>
          <w:szCs w:val="28"/>
          <w:highlight w:val="none"/>
        </w:rPr>
        <w:t>评分办法前附表</w:t>
      </w:r>
    </w:p>
    <w:tbl>
      <w:tblPr>
        <w:tblStyle w:val="28"/>
        <w:tblpPr w:leftFromText="180" w:rightFromText="180" w:vertAnchor="text" w:horzAnchor="page" w:tblpXSpec="center" w:tblpY="363"/>
        <w:tblOverlap w:val="never"/>
        <w:tblW w:w="97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4"/>
        <w:gridCol w:w="872"/>
        <w:gridCol w:w="2560"/>
        <w:gridCol w:w="5543"/>
      </w:tblGrid>
      <w:tr w14:paraId="55530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84" w:type="dxa"/>
            <w:vAlign w:val="center"/>
          </w:tcPr>
          <w:p w14:paraId="0C758495">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审查主体</w:t>
            </w:r>
          </w:p>
        </w:tc>
        <w:tc>
          <w:tcPr>
            <w:tcW w:w="3432" w:type="dxa"/>
            <w:gridSpan w:val="2"/>
            <w:vAlign w:val="center"/>
          </w:tcPr>
          <w:p w14:paraId="4CE8A7FA">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评审因素</w:t>
            </w:r>
          </w:p>
        </w:tc>
        <w:tc>
          <w:tcPr>
            <w:tcW w:w="5543" w:type="dxa"/>
            <w:vAlign w:val="center"/>
          </w:tcPr>
          <w:p w14:paraId="6AD29B85">
            <w:pPr>
              <w:keepNext w:val="0"/>
              <w:keepLines w:val="0"/>
              <w:pageBreakBefore w:val="0"/>
              <w:widowControl w:val="0"/>
              <w:tabs>
                <w:tab w:val="left" w:pos="417"/>
                <w:tab w:val="center" w:pos="2999"/>
              </w:tabs>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评审标准</w:t>
            </w:r>
          </w:p>
        </w:tc>
      </w:tr>
      <w:tr w14:paraId="5B159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784" w:type="dxa"/>
            <w:vMerge w:val="restart"/>
            <w:vAlign w:val="center"/>
          </w:tcPr>
          <w:p w14:paraId="14CAB6BD">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资格审查小组</w:t>
            </w:r>
          </w:p>
        </w:tc>
        <w:tc>
          <w:tcPr>
            <w:tcW w:w="872" w:type="dxa"/>
            <w:vMerge w:val="restart"/>
            <w:vAlign w:val="center"/>
          </w:tcPr>
          <w:p w14:paraId="5F2D4A00">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一、资格评审标准</w:t>
            </w:r>
          </w:p>
        </w:tc>
        <w:tc>
          <w:tcPr>
            <w:tcW w:w="2560" w:type="dxa"/>
            <w:vAlign w:val="center"/>
          </w:tcPr>
          <w:p w14:paraId="373BDB70">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营业执照、税务登记证、组织机构代码证</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或三证合一的营业执照</w:t>
            </w:r>
            <w:r>
              <w:rPr>
                <w:rFonts w:hint="eastAsia" w:ascii="宋体" w:hAnsi="宋体" w:eastAsia="宋体" w:cs="宋体"/>
                <w:color w:val="auto"/>
                <w:sz w:val="21"/>
                <w:szCs w:val="21"/>
                <w:highlight w:val="none"/>
                <w:lang w:eastAsia="zh-CN"/>
              </w:rPr>
              <w:t>）</w:t>
            </w:r>
          </w:p>
        </w:tc>
        <w:tc>
          <w:tcPr>
            <w:tcW w:w="5543" w:type="dxa"/>
            <w:vAlign w:val="center"/>
          </w:tcPr>
          <w:p w14:paraId="75EB09BB">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提供资格承诺函</w:t>
            </w:r>
          </w:p>
        </w:tc>
      </w:tr>
      <w:tr w14:paraId="6689B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784" w:type="dxa"/>
            <w:vMerge w:val="continue"/>
            <w:vAlign w:val="center"/>
          </w:tcPr>
          <w:p w14:paraId="2F959812">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tc>
        <w:tc>
          <w:tcPr>
            <w:tcW w:w="872" w:type="dxa"/>
            <w:vMerge w:val="continue"/>
            <w:vAlign w:val="center"/>
          </w:tcPr>
          <w:p w14:paraId="27DCB157">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tc>
        <w:tc>
          <w:tcPr>
            <w:tcW w:w="2560" w:type="dxa"/>
            <w:vAlign w:val="center"/>
          </w:tcPr>
          <w:p w14:paraId="3ABA7E0F">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符合《中华人民共和国政府采购法》第二十二条之规定</w:t>
            </w:r>
          </w:p>
        </w:tc>
        <w:tc>
          <w:tcPr>
            <w:tcW w:w="5543" w:type="dxa"/>
            <w:vAlign w:val="center"/>
          </w:tcPr>
          <w:p w14:paraId="3B8D2F2E">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提供资格承诺函</w:t>
            </w:r>
          </w:p>
        </w:tc>
      </w:tr>
      <w:tr w14:paraId="426A6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84" w:type="dxa"/>
            <w:vMerge w:val="continue"/>
            <w:vAlign w:val="center"/>
          </w:tcPr>
          <w:p w14:paraId="70068A3D">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tc>
        <w:tc>
          <w:tcPr>
            <w:tcW w:w="872" w:type="dxa"/>
            <w:vMerge w:val="continue"/>
            <w:vAlign w:val="center"/>
          </w:tcPr>
          <w:p w14:paraId="363AD46D">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tc>
        <w:tc>
          <w:tcPr>
            <w:tcW w:w="2560" w:type="dxa"/>
            <w:vAlign w:val="center"/>
          </w:tcPr>
          <w:p w14:paraId="28DA951F">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法定代表人证明或法人授权委托书</w:t>
            </w:r>
          </w:p>
        </w:tc>
        <w:tc>
          <w:tcPr>
            <w:tcW w:w="5543" w:type="dxa"/>
            <w:vAlign w:val="center"/>
          </w:tcPr>
          <w:p w14:paraId="535FE3F4">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提供</w:t>
            </w:r>
            <w:r>
              <w:rPr>
                <w:rFonts w:hint="eastAsia" w:ascii="宋体" w:hAnsi="宋体" w:eastAsia="宋体" w:cs="宋体"/>
                <w:color w:val="auto"/>
                <w:sz w:val="21"/>
                <w:szCs w:val="21"/>
                <w:highlight w:val="none"/>
              </w:rPr>
              <w:t>法定代表人（负责人）证明或法人授权委托书</w:t>
            </w:r>
          </w:p>
        </w:tc>
      </w:tr>
      <w:tr w14:paraId="22AF7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9" w:hRule="atLeast"/>
          <w:jc w:val="center"/>
        </w:trPr>
        <w:tc>
          <w:tcPr>
            <w:tcW w:w="784" w:type="dxa"/>
            <w:vMerge w:val="continue"/>
            <w:vAlign w:val="center"/>
          </w:tcPr>
          <w:p w14:paraId="4BAA310C">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tc>
        <w:tc>
          <w:tcPr>
            <w:tcW w:w="872" w:type="dxa"/>
            <w:vMerge w:val="continue"/>
            <w:vAlign w:val="center"/>
          </w:tcPr>
          <w:p w14:paraId="0B8172B5">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tc>
        <w:tc>
          <w:tcPr>
            <w:tcW w:w="2560" w:type="dxa"/>
            <w:vAlign w:val="center"/>
          </w:tcPr>
          <w:p w14:paraId="1E3294BD">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信誉要求</w:t>
            </w:r>
          </w:p>
        </w:tc>
        <w:tc>
          <w:tcPr>
            <w:tcW w:w="5543" w:type="dxa"/>
            <w:vAlign w:val="center"/>
          </w:tcPr>
          <w:p w14:paraId="68EA7B36">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对信用信息查询记录和证据进行打印存档</w:t>
            </w:r>
          </w:p>
        </w:tc>
      </w:tr>
      <w:tr w14:paraId="43A69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bottom w:val="single" w:color="auto" w:sz="4" w:space="0"/>
            </w:tcBorders>
            <w:vAlign w:val="center"/>
          </w:tcPr>
          <w:p w14:paraId="3DD5640C">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tc>
        <w:tc>
          <w:tcPr>
            <w:tcW w:w="872" w:type="dxa"/>
            <w:vMerge w:val="continue"/>
            <w:tcBorders>
              <w:bottom w:val="single" w:color="auto" w:sz="4" w:space="0"/>
            </w:tcBorders>
            <w:vAlign w:val="center"/>
          </w:tcPr>
          <w:p w14:paraId="6CE34322">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tc>
        <w:tc>
          <w:tcPr>
            <w:tcW w:w="2560" w:type="dxa"/>
            <w:tcBorders>
              <w:bottom w:val="single" w:color="auto" w:sz="4" w:space="0"/>
            </w:tcBorders>
            <w:vAlign w:val="center"/>
          </w:tcPr>
          <w:p w14:paraId="6ED3C82D">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其他要求</w:t>
            </w:r>
          </w:p>
        </w:tc>
        <w:tc>
          <w:tcPr>
            <w:tcW w:w="5543" w:type="dxa"/>
            <w:tcBorders>
              <w:bottom w:val="single" w:color="auto" w:sz="4" w:space="0"/>
            </w:tcBorders>
            <w:vAlign w:val="center"/>
          </w:tcPr>
          <w:p w14:paraId="3DF37FAD">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符合招标文件资格要求的其他要求</w:t>
            </w:r>
          </w:p>
        </w:tc>
      </w:tr>
      <w:tr w14:paraId="7E112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restart"/>
            <w:tcBorders>
              <w:top w:val="single" w:color="auto" w:sz="4" w:space="0"/>
              <w:left w:val="single" w:color="auto" w:sz="4" w:space="0"/>
              <w:bottom w:val="single" w:color="auto" w:sz="4" w:space="0"/>
              <w:right w:val="single" w:color="auto" w:sz="4" w:space="0"/>
            </w:tcBorders>
            <w:vAlign w:val="center"/>
          </w:tcPr>
          <w:p w14:paraId="3F0EC64B">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评标委员会</w:t>
            </w:r>
          </w:p>
        </w:tc>
        <w:tc>
          <w:tcPr>
            <w:tcW w:w="872" w:type="dxa"/>
            <w:vMerge w:val="restart"/>
            <w:tcBorders>
              <w:top w:val="single" w:color="auto" w:sz="4" w:space="0"/>
              <w:left w:val="single" w:color="auto" w:sz="4" w:space="0"/>
              <w:bottom w:val="single" w:color="auto" w:sz="4" w:space="0"/>
              <w:right w:val="single" w:color="auto" w:sz="4" w:space="0"/>
            </w:tcBorders>
            <w:vAlign w:val="center"/>
          </w:tcPr>
          <w:p w14:paraId="7CFF04A3">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二、形式评审标准</w:t>
            </w:r>
          </w:p>
        </w:tc>
        <w:tc>
          <w:tcPr>
            <w:tcW w:w="2560" w:type="dxa"/>
            <w:tcBorders>
              <w:top w:val="single" w:color="auto" w:sz="4" w:space="0"/>
              <w:left w:val="single" w:color="auto" w:sz="4" w:space="0"/>
              <w:bottom w:val="single" w:color="auto" w:sz="4" w:space="0"/>
              <w:right w:val="single" w:color="auto" w:sz="4" w:space="0"/>
            </w:tcBorders>
            <w:vAlign w:val="center"/>
          </w:tcPr>
          <w:p w14:paraId="14BB552A">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p>
        </w:tc>
        <w:tc>
          <w:tcPr>
            <w:tcW w:w="5543" w:type="dxa"/>
            <w:tcBorders>
              <w:top w:val="single" w:color="auto" w:sz="4" w:space="0"/>
              <w:left w:val="single" w:color="auto" w:sz="4" w:space="0"/>
              <w:bottom w:val="single" w:color="auto" w:sz="4" w:space="0"/>
              <w:right w:val="single" w:color="auto" w:sz="4" w:space="0"/>
            </w:tcBorders>
            <w:vAlign w:val="center"/>
          </w:tcPr>
          <w:p w14:paraId="38379C2F">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与营业执照等证件一致</w:t>
            </w:r>
          </w:p>
        </w:tc>
      </w:tr>
      <w:tr w14:paraId="37E5A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10E42367">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tc>
        <w:tc>
          <w:tcPr>
            <w:tcW w:w="872" w:type="dxa"/>
            <w:vMerge w:val="continue"/>
            <w:tcBorders>
              <w:top w:val="single" w:color="auto" w:sz="4" w:space="0"/>
              <w:left w:val="single" w:color="auto" w:sz="4" w:space="0"/>
              <w:bottom w:val="single" w:color="auto" w:sz="4" w:space="0"/>
              <w:right w:val="single" w:color="auto" w:sz="4" w:space="0"/>
            </w:tcBorders>
            <w:vAlign w:val="center"/>
          </w:tcPr>
          <w:p w14:paraId="063EF98C">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tc>
        <w:tc>
          <w:tcPr>
            <w:tcW w:w="2560" w:type="dxa"/>
            <w:tcBorders>
              <w:top w:val="single" w:color="auto" w:sz="4" w:space="0"/>
              <w:left w:val="single" w:color="auto" w:sz="4" w:space="0"/>
              <w:bottom w:val="single" w:color="auto" w:sz="4" w:space="0"/>
              <w:right w:val="single" w:color="auto" w:sz="4" w:space="0"/>
            </w:tcBorders>
            <w:vAlign w:val="center"/>
          </w:tcPr>
          <w:p w14:paraId="08C6CF56">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投标函签字盖章</w:t>
            </w:r>
          </w:p>
        </w:tc>
        <w:tc>
          <w:tcPr>
            <w:tcW w:w="5543" w:type="dxa"/>
            <w:tcBorders>
              <w:top w:val="single" w:color="auto" w:sz="4" w:space="0"/>
              <w:left w:val="single" w:color="auto" w:sz="4" w:space="0"/>
              <w:bottom w:val="single" w:color="auto" w:sz="4" w:space="0"/>
              <w:right w:val="single" w:color="auto" w:sz="4" w:space="0"/>
            </w:tcBorders>
            <w:vAlign w:val="center"/>
          </w:tcPr>
          <w:p w14:paraId="7C010458">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加盖企业电子签章并有法定代表人或其委托代理人签字或盖章</w:t>
            </w:r>
          </w:p>
        </w:tc>
      </w:tr>
      <w:tr w14:paraId="18311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1A409D64">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tc>
        <w:tc>
          <w:tcPr>
            <w:tcW w:w="872" w:type="dxa"/>
            <w:vMerge w:val="continue"/>
            <w:tcBorders>
              <w:top w:val="single" w:color="auto" w:sz="4" w:space="0"/>
              <w:left w:val="single" w:color="auto" w:sz="4" w:space="0"/>
              <w:bottom w:val="single" w:color="auto" w:sz="4" w:space="0"/>
              <w:right w:val="single" w:color="auto" w:sz="4" w:space="0"/>
            </w:tcBorders>
            <w:vAlign w:val="center"/>
          </w:tcPr>
          <w:p w14:paraId="4FB968E7">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tc>
        <w:tc>
          <w:tcPr>
            <w:tcW w:w="2560" w:type="dxa"/>
            <w:tcBorders>
              <w:top w:val="single" w:color="auto" w:sz="4" w:space="0"/>
              <w:left w:val="single" w:color="auto" w:sz="4" w:space="0"/>
              <w:bottom w:val="single" w:color="auto" w:sz="4" w:space="0"/>
              <w:right w:val="single" w:color="auto" w:sz="4" w:space="0"/>
            </w:tcBorders>
            <w:vAlign w:val="center"/>
          </w:tcPr>
          <w:p w14:paraId="33C94A00">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投标文件格式</w:t>
            </w:r>
          </w:p>
        </w:tc>
        <w:tc>
          <w:tcPr>
            <w:tcW w:w="5543" w:type="dxa"/>
            <w:tcBorders>
              <w:top w:val="single" w:color="auto" w:sz="4" w:space="0"/>
              <w:left w:val="single" w:color="auto" w:sz="4" w:space="0"/>
              <w:bottom w:val="single" w:color="auto" w:sz="4" w:space="0"/>
              <w:right w:val="single" w:color="auto" w:sz="4" w:space="0"/>
            </w:tcBorders>
            <w:vAlign w:val="center"/>
          </w:tcPr>
          <w:p w14:paraId="3ED54122">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符合招标文件格式要求</w:t>
            </w:r>
          </w:p>
        </w:tc>
      </w:tr>
      <w:tr w14:paraId="08071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71953A92">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tc>
        <w:tc>
          <w:tcPr>
            <w:tcW w:w="872" w:type="dxa"/>
            <w:vMerge w:val="continue"/>
            <w:tcBorders>
              <w:top w:val="single" w:color="auto" w:sz="4" w:space="0"/>
              <w:left w:val="single" w:color="auto" w:sz="4" w:space="0"/>
              <w:bottom w:val="single" w:color="auto" w:sz="4" w:space="0"/>
              <w:right w:val="single" w:color="auto" w:sz="4" w:space="0"/>
            </w:tcBorders>
            <w:vAlign w:val="center"/>
          </w:tcPr>
          <w:p w14:paraId="79CE253F">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tc>
        <w:tc>
          <w:tcPr>
            <w:tcW w:w="2560" w:type="dxa"/>
            <w:tcBorders>
              <w:top w:val="single" w:color="auto" w:sz="4" w:space="0"/>
              <w:left w:val="single" w:color="auto" w:sz="4" w:space="0"/>
              <w:bottom w:val="single" w:color="auto" w:sz="4" w:space="0"/>
              <w:right w:val="single" w:color="auto" w:sz="4" w:space="0"/>
            </w:tcBorders>
            <w:vAlign w:val="center"/>
          </w:tcPr>
          <w:p w14:paraId="1DF4DBC8">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报价唯一</w:t>
            </w:r>
          </w:p>
        </w:tc>
        <w:tc>
          <w:tcPr>
            <w:tcW w:w="5543" w:type="dxa"/>
            <w:tcBorders>
              <w:top w:val="single" w:color="auto" w:sz="4" w:space="0"/>
              <w:left w:val="single" w:color="auto" w:sz="4" w:space="0"/>
              <w:bottom w:val="single" w:color="auto" w:sz="4" w:space="0"/>
              <w:right w:val="single" w:color="auto" w:sz="4" w:space="0"/>
            </w:tcBorders>
            <w:vAlign w:val="center"/>
          </w:tcPr>
          <w:p w14:paraId="1BFDA1E0">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只能有一个有效报价</w:t>
            </w:r>
          </w:p>
        </w:tc>
      </w:tr>
      <w:tr w14:paraId="443BF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57589EF6">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tc>
        <w:tc>
          <w:tcPr>
            <w:tcW w:w="872" w:type="dxa"/>
            <w:vMerge w:val="restart"/>
            <w:tcBorders>
              <w:top w:val="single" w:color="auto" w:sz="4" w:space="0"/>
              <w:left w:val="single" w:color="auto" w:sz="4" w:space="0"/>
              <w:right w:val="single" w:color="auto" w:sz="4" w:space="0"/>
            </w:tcBorders>
            <w:vAlign w:val="center"/>
          </w:tcPr>
          <w:p w14:paraId="556AD88D">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p w14:paraId="0C6CB0FF">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p w14:paraId="6AB989C4">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三、响应性评审标准</w:t>
            </w:r>
          </w:p>
        </w:tc>
        <w:tc>
          <w:tcPr>
            <w:tcW w:w="2560" w:type="dxa"/>
            <w:tcBorders>
              <w:top w:val="single" w:color="auto" w:sz="4" w:space="0"/>
              <w:left w:val="single" w:color="auto" w:sz="4" w:space="0"/>
              <w:bottom w:val="single" w:color="auto" w:sz="4" w:space="0"/>
              <w:right w:val="single" w:color="auto" w:sz="4" w:space="0"/>
            </w:tcBorders>
            <w:vAlign w:val="center"/>
          </w:tcPr>
          <w:p w14:paraId="47CF9EF0">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合同履行期限</w:t>
            </w:r>
          </w:p>
          <w:p w14:paraId="2C492EC0">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（供货及安装期）</w:t>
            </w:r>
          </w:p>
        </w:tc>
        <w:tc>
          <w:tcPr>
            <w:tcW w:w="5543" w:type="dxa"/>
            <w:tcBorders>
              <w:top w:val="single" w:color="auto" w:sz="4" w:space="0"/>
              <w:left w:val="single" w:color="auto" w:sz="4" w:space="0"/>
              <w:bottom w:val="single" w:color="auto" w:sz="4" w:space="0"/>
              <w:right w:val="single" w:color="auto" w:sz="4" w:space="0"/>
            </w:tcBorders>
            <w:vAlign w:val="center"/>
          </w:tcPr>
          <w:p w14:paraId="5134043B">
            <w:pPr>
              <w:pStyle w:val="49"/>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bidi="hi-IN"/>
              </w:rPr>
              <w:t>30日历天</w:t>
            </w:r>
          </w:p>
        </w:tc>
      </w:tr>
      <w:tr w14:paraId="2FA96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5C811DBD">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tc>
        <w:tc>
          <w:tcPr>
            <w:tcW w:w="872" w:type="dxa"/>
            <w:vMerge w:val="continue"/>
            <w:tcBorders>
              <w:left w:val="single" w:color="auto" w:sz="4" w:space="0"/>
              <w:right w:val="single" w:color="auto" w:sz="4" w:space="0"/>
            </w:tcBorders>
            <w:vAlign w:val="center"/>
          </w:tcPr>
          <w:p w14:paraId="619DFCE8">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tc>
        <w:tc>
          <w:tcPr>
            <w:tcW w:w="2560" w:type="dxa"/>
            <w:tcBorders>
              <w:top w:val="single" w:color="auto" w:sz="4" w:space="0"/>
              <w:left w:val="single" w:color="auto" w:sz="4" w:space="0"/>
              <w:bottom w:val="single" w:color="auto" w:sz="4" w:space="0"/>
              <w:right w:val="single" w:color="auto" w:sz="4" w:space="0"/>
            </w:tcBorders>
            <w:vAlign w:val="center"/>
          </w:tcPr>
          <w:p w14:paraId="121D7598">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质量标准</w:t>
            </w:r>
          </w:p>
        </w:tc>
        <w:tc>
          <w:tcPr>
            <w:tcW w:w="5543" w:type="dxa"/>
            <w:tcBorders>
              <w:top w:val="single" w:color="auto" w:sz="4" w:space="0"/>
              <w:left w:val="single" w:color="auto" w:sz="4" w:space="0"/>
              <w:bottom w:val="single" w:color="auto" w:sz="4" w:space="0"/>
              <w:right w:val="single" w:color="auto" w:sz="4" w:space="0"/>
            </w:tcBorders>
            <w:vAlign w:val="center"/>
          </w:tcPr>
          <w:p w14:paraId="3AAEA17B">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合格，符合国家、行业规范标准</w:t>
            </w:r>
          </w:p>
        </w:tc>
      </w:tr>
      <w:tr w14:paraId="176C5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5A5A7F27">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tc>
        <w:tc>
          <w:tcPr>
            <w:tcW w:w="872" w:type="dxa"/>
            <w:vMerge w:val="continue"/>
            <w:tcBorders>
              <w:left w:val="single" w:color="auto" w:sz="4" w:space="0"/>
              <w:right w:val="single" w:color="auto" w:sz="4" w:space="0"/>
            </w:tcBorders>
            <w:vAlign w:val="center"/>
          </w:tcPr>
          <w:p w14:paraId="5DF43F91">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tc>
        <w:tc>
          <w:tcPr>
            <w:tcW w:w="2560" w:type="dxa"/>
            <w:tcBorders>
              <w:top w:val="single" w:color="auto" w:sz="4" w:space="0"/>
              <w:left w:val="single" w:color="auto" w:sz="4" w:space="0"/>
              <w:bottom w:val="single" w:color="auto" w:sz="4" w:space="0"/>
              <w:right w:val="single" w:color="auto" w:sz="4" w:space="0"/>
            </w:tcBorders>
            <w:vAlign w:val="center"/>
          </w:tcPr>
          <w:p w14:paraId="0735038C">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质保期</w:t>
            </w:r>
          </w:p>
        </w:tc>
        <w:tc>
          <w:tcPr>
            <w:tcW w:w="5543" w:type="dxa"/>
            <w:tcBorders>
              <w:top w:val="single" w:color="auto" w:sz="4" w:space="0"/>
              <w:left w:val="single" w:color="auto" w:sz="4" w:space="0"/>
              <w:bottom w:val="single" w:color="auto" w:sz="4" w:space="0"/>
              <w:right w:val="single" w:color="auto" w:sz="4" w:space="0"/>
            </w:tcBorders>
            <w:vAlign w:val="center"/>
          </w:tcPr>
          <w:p w14:paraId="5A07FA81">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三</w:t>
            </w:r>
            <w:r>
              <w:rPr>
                <w:rFonts w:hint="eastAsia" w:ascii="宋体" w:hAnsi="宋体" w:eastAsia="宋体" w:cs="宋体"/>
                <w:color w:val="auto"/>
                <w:sz w:val="21"/>
                <w:szCs w:val="21"/>
                <w:highlight w:val="none"/>
              </w:rPr>
              <w:t>年</w:t>
            </w:r>
          </w:p>
        </w:tc>
      </w:tr>
      <w:tr w14:paraId="25D36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54B8140C">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tc>
        <w:tc>
          <w:tcPr>
            <w:tcW w:w="872" w:type="dxa"/>
            <w:vMerge w:val="continue"/>
            <w:tcBorders>
              <w:left w:val="single" w:color="auto" w:sz="4" w:space="0"/>
              <w:right w:val="single" w:color="auto" w:sz="4" w:space="0"/>
            </w:tcBorders>
            <w:vAlign w:val="center"/>
          </w:tcPr>
          <w:p w14:paraId="01DF256A">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tc>
        <w:tc>
          <w:tcPr>
            <w:tcW w:w="2560" w:type="dxa"/>
            <w:tcBorders>
              <w:top w:val="single" w:color="auto" w:sz="4" w:space="0"/>
              <w:left w:val="single" w:color="auto" w:sz="4" w:space="0"/>
              <w:bottom w:val="single" w:color="auto" w:sz="4" w:space="0"/>
              <w:right w:val="single" w:color="auto" w:sz="4" w:space="0"/>
            </w:tcBorders>
            <w:vAlign w:val="center"/>
          </w:tcPr>
          <w:p w14:paraId="54B9DFE3">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商务报价</w:t>
            </w:r>
          </w:p>
        </w:tc>
        <w:tc>
          <w:tcPr>
            <w:tcW w:w="5543" w:type="dxa"/>
            <w:tcBorders>
              <w:top w:val="single" w:color="auto" w:sz="4" w:space="0"/>
              <w:left w:val="single" w:color="auto" w:sz="4" w:space="0"/>
              <w:bottom w:val="single" w:color="auto" w:sz="4" w:space="0"/>
              <w:right w:val="single" w:color="auto" w:sz="4" w:space="0"/>
            </w:tcBorders>
            <w:vAlign w:val="center"/>
          </w:tcPr>
          <w:p w14:paraId="03188DBF">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只能有一个有效报价，且不能超过招标</w:t>
            </w:r>
            <w:r>
              <w:rPr>
                <w:rFonts w:hint="eastAsia" w:ascii="宋体" w:hAnsi="宋体" w:eastAsia="宋体" w:cs="宋体"/>
                <w:color w:val="auto"/>
                <w:sz w:val="21"/>
                <w:szCs w:val="21"/>
                <w:highlight w:val="none"/>
                <w:lang w:eastAsia="zh-CN"/>
              </w:rPr>
              <w:t>最高限价</w:t>
            </w:r>
          </w:p>
        </w:tc>
      </w:tr>
      <w:tr w14:paraId="05773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13E339B3">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tc>
        <w:tc>
          <w:tcPr>
            <w:tcW w:w="872" w:type="dxa"/>
            <w:vMerge w:val="continue"/>
            <w:tcBorders>
              <w:left w:val="single" w:color="auto" w:sz="4" w:space="0"/>
              <w:right w:val="single" w:color="auto" w:sz="4" w:space="0"/>
            </w:tcBorders>
            <w:vAlign w:val="center"/>
          </w:tcPr>
          <w:p w14:paraId="7AB3D633">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tc>
        <w:tc>
          <w:tcPr>
            <w:tcW w:w="2560" w:type="dxa"/>
            <w:tcBorders>
              <w:top w:val="single" w:color="auto" w:sz="4" w:space="0"/>
              <w:left w:val="single" w:color="auto" w:sz="4" w:space="0"/>
              <w:bottom w:val="single" w:color="auto" w:sz="4" w:space="0"/>
              <w:right w:val="single" w:color="auto" w:sz="4" w:space="0"/>
            </w:tcBorders>
            <w:vAlign w:val="center"/>
          </w:tcPr>
          <w:p w14:paraId="789B4A0B">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投标有效期</w:t>
            </w:r>
          </w:p>
        </w:tc>
        <w:tc>
          <w:tcPr>
            <w:tcW w:w="5543" w:type="dxa"/>
            <w:tcBorders>
              <w:top w:val="single" w:color="auto" w:sz="4" w:space="0"/>
              <w:left w:val="single" w:color="auto" w:sz="4" w:space="0"/>
              <w:bottom w:val="single" w:color="auto" w:sz="4" w:space="0"/>
              <w:right w:val="single" w:color="auto" w:sz="4" w:space="0"/>
            </w:tcBorders>
            <w:vAlign w:val="center"/>
          </w:tcPr>
          <w:p w14:paraId="20193B2E">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60日历天（从投标截止之日算起）</w:t>
            </w:r>
          </w:p>
        </w:tc>
      </w:tr>
      <w:tr w14:paraId="5103B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1CAF57F4">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tc>
        <w:tc>
          <w:tcPr>
            <w:tcW w:w="872" w:type="dxa"/>
            <w:vMerge w:val="continue"/>
            <w:tcBorders>
              <w:left w:val="single" w:color="auto" w:sz="4" w:space="0"/>
              <w:right w:val="single" w:color="auto" w:sz="4" w:space="0"/>
            </w:tcBorders>
            <w:vAlign w:val="center"/>
          </w:tcPr>
          <w:p w14:paraId="6360D255">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tc>
        <w:tc>
          <w:tcPr>
            <w:tcW w:w="2560" w:type="dxa"/>
            <w:tcBorders>
              <w:top w:val="single" w:color="auto" w:sz="4" w:space="0"/>
              <w:left w:val="single" w:color="auto" w:sz="4" w:space="0"/>
              <w:bottom w:val="single" w:color="auto" w:sz="4" w:space="0"/>
              <w:right w:val="single" w:color="auto" w:sz="4" w:space="0"/>
            </w:tcBorders>
            <w:vAlign w:val="center"/>
          </w:tcPr>
          <w:p w14:paraId="2917D325">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权利义务</w:t>
            </w:r>
          </w:p>
        </w:tc>
        <w:tc>
          <w:tcPr>
            <w:tcW w:w="5543" w:type="dxa"/>
            <w:tcBorders>
              <w:top w:val="single" w:color="auto" w:sz="4" w:space="0"/>
              <w:left w:val="single" w:color="auto" w:sz="4" w:space="0"/>
              <w:bottom w:val="single" w:color="auto" w:sz="4" w:space="0"/>
              <w:right w:val="single" w:color="auto" w:sz="4" w:space="0"/>
            </w:tcBorders>
            <w:vAlign w:val="center"/>
          </w:tcPr>
          <w:p w14:paraId="52D95747">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符合第四章“合同条款及格式”规定</w:t>
            </w:r>
          </w:p>
        </w:tc>
      </w:tr>
      <w:tr w14:paraId="0E7CE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70EB15CA">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tc>
        <w:tc>
          <w:tcPr>
            <w:tcW w:w="872" w:type="dxa"/>
            <w:vMerge w:val="continue"/>
            <w:tcBorders>
              <w:left w:val="single" w:color="auto" w:sz="4" w:space="0"/>
              <w:right w:val="single" w:color="auto" w:sz="4" w:space="0"/>
            </w:tcBorders>
            <w:vAlign w:val="center"/>
          </w:tcPr>
          <w:p w14:paraId="4576FDD4">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tc>
        <w:tc>
          <w:tcPr>
            <w:tcW w:w="2560" w:type="dxa"/>
            <w:tcBorders>
              <w:top w:val="single" w:color="auto" w:sz="4" w:space="0"/>
              <w:left w:val="single" w:color="auto" w:sz="4" w:space="0"/>
              <w:bottom w:val="single" w:color="auto" w:sz="4" w:space="0"/>
              <w:right w:val="single" w:color="auto" w:sz="4" w:space="0"/>
            </w:tcBorders>
            <w:vAlign w:val="center"/>
          </w:tcPr>
          <w:p w14:paraId="6023DDCF">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技术标准和要求</w:t>
            </w:r>
          </w:p>
        </w:tc>
        <w:tc>
          <w:tcPr>
            <w:tcW w:w="5543" w:type="dxa"/>
            <w:tcBorders>
              <w:top w:val="single" w:color="auto" w:sz="4" w:space="0"/>
              <w:left w:val="single" w:color="auto" w:sz="4" w:space="0"/>
              <w:bottom w:val="single" w:color="auto" w:sz="4" w:space="0"/>
              <w:right w:val="single" w:color="auto" w:sz="4" w:space="0"/>
            </w:tcBorders>
            <w:vAlign w:val="center"/>
          </w:tcPr>
          <w:p w14:paraId="1721DA9C">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符合第五章“采购内容及</w:t>
            </w:r>
            <w:r>
              <w:rPr>
                <w:rFonts w:hint="eastAsia" w:ascii="宋体" w:hAnsi="宋体" w:cs="宋体"/>
                <w:color w:val="auto"/>
                <w:sz w:val="21"/>
                <w:szCs w:val="21"/>
                <w:highlight w:val="none"/>
                <w:lang w:val="en-US" w:eastAsia="zh-CN"/>
              </w:rPr>
              <w:t>技术</w:t>
            </w:r>
            <w:r>
              <w:rPr>
                <w:rFonts w:hint="eastAsia" w:ascii="宋体" w:hAnsi="宋体" w:eastAsia="宋体" w:cs="宋体"/>
                <w:color w:val="auto"/>
                <w:sz w:val="21"/>
                <w:szCs w:val="21"/>
                <w:highlight w:val="none"/>
              </w:rPr>
              <w:t>要求”和“附件”规定，若不符合第五章“采购内容及</w:t>
            </w:r>
            <w:r>
              <w:rPr>
                <w:rFonts w:hint="eastAsia" w:ascii="宋体" w:hAnsi="宋体" w:cs="宋体"/>
                <w:color w:val="auto"/>
                <w:sz w:val="21"/>
                <w:szCs w:val="21"/>
                <w:highlight w:val="none"/>
                <w:lang w:val="en-US" w:eastAsia="zh-CN"/>
              </w:rPr>
              <w:t>技术</w:t>
            </w:r>
            <w:r>
              <w:rPr>
                <w:rFonts w:hint="eastAsia" w:ascii="宋体" w:hAnsi="宋体" w:eastAsia="宋体" w:cs="宋体"/>
                <w:color w:val="auto"/>
                <w:sz w:val="21"/>
                <w:szCs w:val="21"/>
                <w:highlight w:val="none"/>
              </w:rPr>
              <w:t>要求”和“附件”规定，将不再进行评审</w:t>
            </w:r>
          </w:p>
        </w:tc>
      </w:tr>
      <w:tr w14:paraId="2656B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3EC78B15">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tc>
        <w:tc>
          <w:tcPr>
            <w:tcW w:w="872" w:type="dxa"/>
            <w:vMerge w:val="continue"/>
            <w:tcBorders>
              <w:left w:val="single" w:color="auto" w:sz="4" w:space="0"/>
              <w:bottom w:val="single" w:color="auto" w:sz="4" w:space="0"/>
              <w:right w:val="single" w:color="auto" w:sz="4" w:space="0"/>
            </w:tcBorders>
            <w:vAlign w:val="center"/>
          </w:tcPr>
          <w:p w14:paraId="0396B339">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tc>
        <w:tc>
          <w:tcPr>
            <w:tcW w:w="2560" w:type="dxa"/>
            <w:tcBorders>
              <w:top w:val="single" w:color="auto" w:sz="4" w:space="0"/>
              <w:left w:val="single" w:color="auto" w:sz="4" w:space="0"/>
              <w:bottom w:val="single" w:color="auto" w:sz="4" w:space="0"/>
              <w:right w:val="single" w:color="auto" w:sz="4" w:space="0"/>
            </w:tcBorders>
            <w:vAlign w:val="center"/>
          </w:tcPr>
          <w:p w14:paraId="2835BE67">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投标文件的其他响应</w:t>
            </w:r>
          </w:p>
        </w:tc>
        <w:tc>
          <w:tcPr>
            <w:tcW w:w="5543" w:type="dxa"/>
            <w:tcBorders>
              <w:top w:val="single" w:color="auto" w:sz="4" w:space="0"/>
              <w:left w:val="single" w:color="auto" w:sz="4" w:space="0"/>
              <w:bottom w:val="single" w:color="auto" w:sz="4" w:space="0"/>
              <w:right w:val="single" w:color="auto" w:sz="4" w:space="0"/>
            </w:tcBorders>
            <w:vAlign w:val="center"/>
          </w:tcPr>
          <w:p w14:paraId="05B2A1EC">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符合法律、法规和招标文件中规定的其他实质性要求的</w:t>
            </w:r>
          </w:p>
        </w:tc>
      </w:tr>
    </w:tbl>
    <w:p w14:paraId="36EB8080">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auto"/>
          <w:sz w:val="24"/>
          <w:szCs w:val="24"/>
          <w:highlight w:val="none"/>
        </w:rPr>
      </w:pPr>
    </w:p>
    <w:p w14:paraId="5DD3BA54">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auto"/>
          <w:sz w:val="24"/>
          <w:szCs w:val="24"/>
          <w:highlight w:val="none"/>
        </w:rPr>
      </w:pPr>
    </w:p>
    <w:p w14:paraId="51EE5307">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auto"/>
          <w:sz w:val="24"/>
          <w:szCs w:val="24"/>
          <w:highlight w:val="none"/>
        </w:rPr>
      </w:pPr>
    </w:p>
    <w:p w14:paraId="7A3D9CA4">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auto"/>
          <w:sz w:val="24"/>
          <w:szCs w:val="24"/>
          <w:highlight w:val="none"/>
        </w:rPr>
      </w:pPr>
    </w:p>
    <w:p w14:paraId="6AED3578">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auto"/>
          <w:sz w:val="24"/>
          <w:szCs w:val="24"/>
          <w:highlight w:val="none"/>
        </w:rPr>
      </w:pPr>
    </w:p>
    <w:p w14:paraId="37E290A4">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auto"/>
          <w:sz w:val="24"/>
          <w:szCs w:val="24"/>
          <w:highlight w:val="none"/>
        </w:rPr>
      </w:pPr>
    </w:p>
    <w:p w14:paraId="3896B31F">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auto"/>
          <w:sz w:val="24"/>
          <w:szCs w:val="24"/>
          <w:highlight w:val="none"/>
        </w:rPr>
      </w:pPr>
    </w:p>
    <w:p w14:paraId="46143966">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auto"/>
          <w:sz w:val="24"/>
          <w:szCs w:val="24"/>
          <w:highlight w:val="none"/>
        </w:rPr>
      </w:pPr>
    </w:p>
    <w:p w14:paraId="0A14875D">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auto"/>
          <w:sz w:val="24"/>
          <w:szCs w:val="24"/>
          <w:highlight w:val="none"/>
        </w:rPr>
      </w:pPr>
    </w:p>
    <w:p w14:paraId="3C8CF5EC">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auto"/>
          <w:sz w:val="24"/>
          <w:szCs w:val="24"/>
          <w:highlight w:val="none"/>
        </w:rPr>
      </w:pPr>
    </w:p>
    <w:p w14:paraId="07485D8F">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auto"/>
          <w:sz w:val="24"/>
          <w:szCs w:val="24"/>
          <w:highlight w:val="none"/>
        </w:rPr>
      </w:pPr>
    </w:p>
    <w:p w14:paraId="69A86171">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auto"/>
          <w:sz w:val="24"/>
          <w:szCs w:val="24"/>
          <w:highlight w:val="none"/>
        </w:rPr>
      </w:pPr>
    </w:p>
    <w:p w14:paraId="5AE61A60">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auto"/>
          <w:sz w:val="24"/>
          <w:szCs w:val="24"/>
          <w:highlight w:val="none"/>
        </w:rPr>
      </w:pPr>
    </w:p>
    <w:p w14:paraId="54AEFB05">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auto"/>
          <w:sz w:val="24"/>
          <w:szCs w:val="24"/>
          <w:highlight w:val="none"/>
        </w:rPr>
      </w:pPr>
    </w:p>
    <w:p w14:paraId="7B924595">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auto"/>
          <w:sz w:val="24"/>
          <w:szCs w:val="24"/>
          <w:highlight w:val="none"/>
        </w:rPr>
      </w:pPr>
    </w:p>
    <w:p w14:paraId="067F7D41">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auto"/>
          <w:sz w:val="24"/>
          <w:szCs w:val="24"/>
          <w:highlight w:val="none"/>
        </w:rPr>
      </w:pPr>
    </w:p>
    <w:p w14:paraId="62CCE94D">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auto"/>
          <w:sz w:val="24"/>
          <w:szCs w:val="24"/>
          <w:highlight w:val="none"/>
        </w:rPr>
      </w:pPr>
    </w:p>
    <w:p w14:paraId="3DC07E8A">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评分办法</w:t>
      </w:r>
    </w:p>
    <w:tbl>
      <w:tblPr>
        <w:tblStyle w:val="28"/>
        <w:tblW w:w="99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175"/>
        <w:gridCol w:w="1545"/>
        <w:gridCol w:w="7246"/>
      </w:tblGrid>
      <w:tr w14:paraId="627FB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59" w:hRule="atLeast"/>
          <w:jc w:val="center"/>
        </w:trPr>
        <w:tc>
          <w:tcPr>
            <w:tcW w:w="1175" w:type="dxa"/>
            <w:vAlign w:val="center"/>
          </w:tcPr>
          <w:p w14:paraId="0C6C4B69">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评标指标</w:t>
            </w:r>
          </w:p>
        </w:tc>
        <w:tc>
          <w:tcPr>
            <w:tcW w:w="8791" w:type="dxa"/>
            <w:gridSpan w:val="2"/>
            <w:vAlign w:val="center"/>
          </w:tcPr>
          <w:p w14:paraId="6A317FD7">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评分内容</w:t>
            </w:r>
          </w:p>
        </w:tc>
      </w:tr>
      <w:tr w14:paraId="51E1A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20" w:hRule="atLeast"/>
          <w:jc w:val="center"/>
        </w:trPr>
        <w:tc>
          <w:tcPr>
            <w:tcW w:w="1175" w:type="dxa"/>
            <w:vAlign w:val="center"/>
          </w:tcPr>
          <w:p w14:paraId="6D21CB2C">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报价部分</w:t>
            </w:r>
          </w:p>
          <w:p w14:paraId="5AA973B0">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（30分）</w:t>
            </w:r>
          </w:p>
        </w:tc>
        <w:tc>
          <w:tcPr>
            <w:tcW w:w="1545" w:type="dxa"/>
            <w:vAlign w:val="center"/>
          </w:tcPr>
          <w:p w14:paraId="3C27C0F8">
            <w:pPr>
              <w:keepNext w:val="0"/>
              <w:keepLines w:val="0"/>
              <w:pageBreakBefore w:val="0"/>
              <w:widowControl w:val="0"/>
              <w:kinsoku/>
              <w:wordWrap/>
              <w:overflowPunct/>
              <w:topLinePunct w:val="0"/>
              <w:autoSpaceDE/>
              <w:autoSpaceDN/>
              <w:bidi w:val="0"/>
              <w:adjustRightInd/>
              <w:spacing w:line="440" w:lineRule="exact"/>
              <w:ind w:right="0" w:rightChars="0"/>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报价部分</w:t>
            </w:r>
          </w:p>
          <w:p w14:paraId="246F3104">
            <w:pPr>
              <w:keepNext w:val="0"/>
              <w:keepLines w:val="0"/>
              <w:pageBreakBefore w:val="0"/>
              <w:widowControl w:val="0"/>
              <w:kinsoku/>
              <w:wordWrap/>
              <w:overflowPunct/>
              <w:topLinePunct w:val="0"/>
              <w:autoSpaceDE/>
              <w:autoSpaceDN/>
              <w:bidi w:val="0"/>
              <w:adjustRightIn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（30分）</w:t>
            </w:r>
          </w:p>
        </w:tc>
        <w:tc>
          <w:tcPr>
            <w:tcW w:w="7246" w:type="dxa"/>
            <w:vAlign w:val="center"/>
          </w:tcPr>
          <w:p w14:paraId="740D2238">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投标报价分采用低价优先法计算，即满足招标文件要求且投标报价</w:t>
            </w:r>
          </w:p>
          <w:p w14:paraId="0303132A">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最低的为评审基准价，其价格分为满分（即30分）。其他投标人的价格分统一按照下列公式计算：</w:t>
            </w:r>
          </w:p>
          <w:p w14:paraId="54C1339A">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报价得分=(评标基准价／投标报价)×价格权值（30分）。</w:t>
            </w:r>
          </w:p>
          <w:p w14:paraId="1997D526">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注：以上计算过程中按四舍五入保留两位小数。</w:t>
            </w:r>
          </w:p>
          <w:p w14:paraId="5190D9DD">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评标委员会认为投标人的报价明显低于其他通过符合性审查投标人的报价，有可能影响产品质量或者不能诚信履约的，应当要求其在合理的时间内提供书面说明，必要时提交相关证明材料；投标人不能证明其报价合理性的，评标委员会应当将其作为无效投标处理。</w:t>
            </w:r>
          </w:p>
          <w:p w14:paraId="2BD26DD9">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2对小型或微型企业投标的扶持：（如有）</w:t>
            </w:r>
          </w:p>
          <w:p w14:paraId="10233861">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2.1投标供应商为小型或微型企业时，报价给予C1的价格扣除（C1的取值为20%），即：评标价＝投标报价（最后报价）×(1－C1）；小微企业应当提供《中小企业声明函》（见格式）。</w:t>
            </w:r>
          </w:p>
          <w:p w14:paraId="0705852D">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2.2按照《政府采购促进中小企业发展管理办法》有关规定，中小企业的标准为：</w:t>
            </w:r>
          </w:p>
          <w:p w14:paraId="2EEB06E3">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2.2.1提供本企业制造的货物、承担的工程或者服务，或者提供其他中小企业制造的货物，不包括提供或使用大型企业注册商标的货物；</w:t>
            </w:r>
          </w:p>
          <w:p w14:paraId="5F75C1B7">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2.2.2本规定所称中小企业划分标准，是指国务院有关部门根据企业从业人员、营业收入、资产总额等指标制定的中小企业划型标准（工信部联企业[2011]300号）；</w:t>
            </w:r>
          </w:p>
          <w:p w14:paraId="1B7ABE57">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2.2.3小型、微型企业提供有中型企业制造的货物的，视同为中型企业；小型、微型、中型企业提供有大型企业制造的货物的，视同为大型企业。</w:t>
            </w:r>
          </w:p>
          <w:p w14:paraId="74565342">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3.</w:t>
            </w:r>
            <w:r>
              <w:rPr>
                <w:rFonts w:hint="eastAsia" w:ascii="宋体" w:hAnsi="宋体" w:eastAsia="宋体" w:cs="宋体"/>
                <w:color w:val="auto"/>
                <w:sz w:val="21"/>
                <w:szCs w:val="21"/>
                <w:highlight w:val="none"/>
              </w:rPr>
              <w:t>根据财政部司法部《关于政府采购支持监狱企业发展有关问题的通知》（财库〔2014〕68号）和财政部民政部中国残疾人联合会《关于促进残疾人就业政府采购政策的通知》（财库〔2017〕141号）规定，本项目对监狱企业、残疾人福利性企业作为投标人所提供的本企业生产的产品的价格给予20%的扣除。</w:t>
            </w:r>
          </w:p>
          <w:p w14:paraId="3F161C28">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同一投标人，小微企业、监狱、残疾人福利性企业同一产品价格扣除优惠只享受一次，不得重复享受。</w:t>
            </w:r>
          </w:p>
        </w:tc>
      </w:tr>
      <w:tr w14:paraId="36792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175" w:type="dxa"/>
            <w:vMerge w:val="restart"/>
            <w:vAlign w:val="center"/>
          </w:tcPr>
          <w:p w14:paraId="5BD26B41">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p w14:paraId="6566BAAF">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p w14:paraId="7CBE0CAB">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p w14:paraId="2C7B55D3">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技术部分</w:t>
            </w:r>
          </w:p>
          <w:p w14:paraId="6E85DE78">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43</w:t>
            </w:r>
            <w:r>
              <w:rPr>
                <w:rFonts w:hint="eastAsia" w:ascii="宋体" w:hAnsi="宋体" w:eastAsia="宋体" w:cs="宋体"/>
                <w:color w:val="auto"/>
                <w:sz w:val="21"/>
                <w:szCs w:val="21"/>
                <w:highlight w:val="none"/>
              </w:rPr>
              <w:t>分）</w:t>
            </w:r>
          </w:p>
        </w:tc>
        <w:tc>
          <w:tcPr>
            <w:tcW w:w="1545" w:type="dxa"/>
            <w:vAlign w:val="center"/>
          </w:tcPr>
          <w:p w14:paraId="07A062FA">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技术参数响应性</w:t>
            </w:r>
          </w:p>
          <w:p w14:paraId="7E0AD335">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w:t>
            </w:r>
            <w:r>
              <w:rPr>
                <w:rFonts w:hint="eastAsia" w:ascii="宋体" w:hAnsi="宋体" w:eastAsia="宋体" w:cs="宋体"/>
                <w:color w:val="auto"/>
                <w:sz w:val="21"/>
                <w:szCs w:val="21"/>
                <w:highlight w:val="none"/>
              </w:rPr>
              <w:t>25</w:t>
            </w:r>
            <w:r>
              <w:rPr>
                <w:rFonts w:hint="eastAsia" w:ascii="宋体" w:hAnsi="宋体" w:eastAsia="宋体" w:cs="宋体"/>
                <w:color w:val="auto"/>
                <w:sz w:val="21"/>
                <w:szCs w:val="21"/>
                <w:highlight w:val="none"/>
                <w:lang w:val="zh-CN"/>
              </w:rPr>
              <w:t>分）</w:t>
            </w:r>
          </w:p>
        </w:tc>
        <w:tc>
          <w:tcPr>
            <w:tcW w:w="7246" w:type="dxa"/>
            <w:vAlign w:val="center"/>
          </w:tcPr>
          <w:p w14:paraId="7C2DA477">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 xml:space="preserve">评标委员会根据招标文件要求投标人提供的主要设备技术证明等文件，判断所投设备是否满足招标文件要求。技术参数不允许有负偏差（负偏差者按无效标处理）。完全满足招标文件要求的得 </w:t>
            </w:r>
            <w:r>
              <w:rPr>
                <w:rFonts w:hint="eastAsia" w:ascii="宋体" w:hAnsi="宋体" w:eastAsia="宋体" w:cs="宋体"/>
                <w:color w:val="auto"/>
                <w:sz w:val="21"/>
                <w:szCs w:val="21"/>
                <w:highlight w:val="none"/>
              </w:rPr>
              <w:t>25</w:t>
            </w:r>
            <w:r>
              <w:rPr>
                <w:rFonts w:hint="eastAsia" w:ascii="宋体" w:hAnsi="宋体" w:eastAsia="宋体" w:cs="宋体"/>
                <w:color w:val="auto"/>
                <w:sz w:val="21"/>
                <w:szCs w:val="21"/>
                <w:highlight w:val="none"/>
                <w:lang w:val="zh-CN"/>
              </w:rPr>
              <w:t>分。</w:t>
            </w:r>
          </w:p>
        </w:tc>
      </w:tr>
      <w:tr w14:paraId="26D0E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988" w:hRule="atLeast"/>
          <w:jc w:val="center"/>
        </w:trPr>
        <w:tc>
          <w:tcPr>
            <w:tcW w:w="1175" w:type="dxa"/>
            <w:vMerge w:val="continue"/>
            <w:vAlign w:val="center"/>
          </w:tcPr>
          <w:p w14:paraId="67058552">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lang w:val="zh-CN"/>
              </w:rPr>
            </w:pPr>
          </w:p>
        </w:tc>
        <w:tc>
          <w:tcPr>
            <w:tcW w:w="1545" w:type="dxa"/>
            <w:vAlign w:val="center"/>
          </w:tcPr>
          <w:p w14:paraId="5EA91F8A">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需求理解与总体方案</w:t>
            </w:r>
          </w:p>
          <w:p w14:paraId="3AC24CA7">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（5分）</w:t>
            </w:r>
          </w:p>
        </w:tc>
        <w:tc>
          <w:tcPr>
            <w:tcW w:w="7246" w:type="dxa"/>
            <w:vAlign w:val="center"/>
          </w:tcPr>
          <w:p w14:paraId="16893FD3">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供应商结合本项目现状，分析重点难点，准确理解客户需求，在此基础上，提出结构完整且合理的项目总体方案，内容包括但不限于架构设置、技术路线等。客户需求理解准确：</w:t>
            </w:r>
          </w:p>
          <w:p w14:paraId="4D5ACB91">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eastAsia="zh-CN" w:bidi="hi-IN"/>
              </w:rPr>
              <w:t>（1）</w:t>
            </w:r>
            <w:r>
              <w:rPr>
                <w:rFonts w:hint="eastAsia" w:ascii="宋体" w:hAnsi="宋体" w:eastAsia="宋体" w:cs="宋体"/>
                <w:color w:val="auto"/>
                <w:sz w:val="21"/>
                <w:szCs w:val="21"/>
                <w:highlight w:val="none"/>
                <w:lang w:val="zh-CN"/>
              </w:rPr>
              <w:t>总体方案思路清晰、架构完整、技术先进、符合项目实际需求的，得</w:t>
            </w:r>
            <w:r>
              <w:rPr>
                <w:rFonts w:hint="eastAsia" w:ascii="宋体" w:hAnsi="宋体" w:eastAsia="宋体" w:cs="宋体"/>
                <w:color w:val="auto"/>
                <w:sz w:val="21"/>
                <w:szCs w:val="21"/>
                <w:highlight w:val="none"/>
              </w:rPr>
              <w:t>5</w:t>
            </w:r>
            <w:r>
              <w:rPr>
                <w:rFonts w:hint="eastAsia" w:ascii="宋体" w:hAnsi="宋体" w:eastAsia="宋体" w:cs="宋体"/>
                <w:color w:val="auto"/>
                <w:sz w:val="21"/>
                <w:szCs w:val="21"/>
                <w:highlight w:val="none"/>
                <w:lang w:val="zh-CN"/>
              </w:rPr>
              <w:t>分；</w:t>
            </w:r>
          </w:p>
          <w:p w14:paraId="1C0C5BAE">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bidi="hi-IN"/>
              </w:rPr>
              <w:t>（2）</w:t>
            </w:r>
            <w:r>
              <w:rPr>
                <w:rFonts w:hint="eastAsia" w:ascii="宋体" w:hAnsi="宋体" w:eastAsia="宋体" w:cs="宋体"/>
                <w:color w:val="auto"/>
                <w:sz w:val="21"/>
                <w:szCs w:val="21"/>
                <w:highlight w:val="none"/>
                <w:lang w:val="zh-CN"/>
              </w:rPr>
              <w:t>客户需求理解较为准确、总体方案思路相对清晰、内容比较全面的，得</w:t>
            </w: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val="zh-CN"/>
              </w:rPr>
              <w:t>分；</w:t>
            </w:r>
          </w:p>
          <w:p w14:paraId="1C592A9E">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bidi="hi-IN"/>
              </w:rPr>
              <w:t>（3）</w:t>
            </w:r>
            <w:r>
              <w:rPr>
                <w:rFonts w:hint="eastAsia" w:ascii="宋体" w:hAnsi="宋体" w:eastAsia="宋体" w:cs="宋体"/>
                <w:color w:val="auto"/>
                <w:sz w:val="21"/>
                <w:szCs w:val="21"/>
                <w:highlight w:val="none"/>
                <w:lang w:val="zh-CN"/>
              </w:rPr>
              <w:t>客户需求理解及总体方案整体质量一般的，得</w:t>
            </w: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zh-CN"/>
              </w:rPr>
              <w:t>分；</w:t>
            </w:r>
          </w:p>
          <w:p w14:paraId="5013CE06">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bidi="hi-IN"/>
              </w:rPr>
              <w:t>（4）</w:t>
            </w:r>
            <w:r>
              <w:rPr>
                <w:rFonts w:hint="eastAsia" w:ascii="宋体" w:hAnsi="宋体" w:eastAsia="宋体" w:cs="宋体"/>
                <w:color w:val="auto"/>
                <w:sz w:val="21"/>
                <w:szCs w:val="21"/>
                <w:highlight w:val="none"/>
                <w:lang w:val="zh-CN"/>
              </w:rPr>
              <w:t>客户需求理解及总体方案整体较差的，不得分；其他或未详细说明的不得分。</w:t>
            </w:r>
          </w:p>
        </w:tc>
      </w:tr>
      <w:tr w14:paraId="5A49F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175" w:type="dxa"/>
            <w:vMerge w:val="continue"/>
            <w:vAlign w:val="center"/>
          </w:tcPr>
          <w:p w14:paraId="1B226FB2">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tc>
        <w:tc>
          <w:tcPr>
            <w:tcW w:w="1545" w:type="dxa"/>
            <w:vAlign w:val="center"/>
          </w:tcPr>
          <w:p w14:paraId="655BBEA0">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供货方案</w:t>
            </w:r>
          </w:p>
          <w:p w14:paraId="484B8721">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（5分）</w:t>
            </w:r>
          </w:p>
        </w:tc>
        <w:tc>
          <w:tcPr>
            <w:tcW w:w="7246" w:type="dxa"/>
            <w:vAlign w:val="center"/>
          </w:tcPr>
          <w:p w14:paraId="1027C8A0">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供货方案及措施：</w:t>
            </w:r>
          </w:p>
          <w:p w14:paraId="4EEC8EC0">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（1）供货时间计划安排科学合理，措施切实可行，方案对项目实施的准备工作、材料和质量保障措施等内容做出详细、合理的阐述的得5</w:t>
            </w:r>
            <w:r>
              <w:rPr>
                <w:rFonts w:hint="eastAsia" w:ascii="宋体" w:hAnsi="宋体" w:eastAsia="宋体" w:cs="宋体"/>
                <w:color w:val="auto"/>
                <w:sz w:val="21"/>
                <w:szCs w:val="21"/>
                <w:highlight w:val="none"/>
                <w:lang w:val="zh-CN"/>
              </w:rPr>
              <w:t>分</w:t>
            </w:r>
            <w:r>
              <w:rPr>
                <w:rFonts w:hint="eastAsia" w:ascii="宋体" w:hAnsi="宋体" w:eastAsia="宋体" w:cs="宋体"/>
                <w:color w:val="auto"/>
                <w:sz w:val="21"/>
                <w:szCs w:val="21"/>
                <w:highlight w:val="none"/>
              </w:rPr>
              <w:t>；</w:t>
            </w:r>
          </w:p>
          <w:p w14:paraId="07FAE787">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（2）供货时间计划基本符合本项目需求，方案对项目实施的准备工作、材料和质量保障措施等内容做出基本描述的得3分； </w:t>
            </w:r>
          </w:p>
          <w:p w14:paraId="3F1D6396">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（3）供货时间计划有瑕疵，方案对项目实施的准备工作、材料和质量保障措施等内容描述缺乏合理性，保证措施有瑕疵，缺乏针对性，执行性差，需进一步完善得1分；</w:t>
            </w:r>
          </w:p>
          <w:p w14:paraId="104428A2">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（4）供货时间计划不合理，方案对项目实施的准备工作、材料和质量保障措施等内容描述不合理性，保证措施不完善得0分；此项未提供不得分。</w:t>
            </w:r>
          </w:p>
        </w:tc>
      </w:tr>
      <w:tr w14:paraId="1B614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175" w:type="dxa"/>
            <w:vMerge w:val="continue"/>
            <w:vAlign w:val="center"/>
          </w:tcPr>
          <w:p w14:paraId="525EA012">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tc>
        <w:tc>
          <w:tcPr>
            <w:tcW w:w="1545" w:type="dxa"/>
            <w:vAlign w:val="center"/>
          </w:tcPr>
          <w:p w14:paraId="5D5BEE17">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安装调试方案</w:t>
            </w:r>
          </w:p>
          <w:p w14:paraId="5C3790FB">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（5分）</w:t>
            </w:r>
          </w:p>
        </w:tc>
        <w:tc>
          <w:tcPr>
            <w:tcW w:w="7246" w:type="dxa"/>
            <w:vAlign w:val="center"/>
          </w:tcPr>
          <w:p w14:paraId="1D3D1D2E">
            <w:pPr>
              <w:pStyle w:val="33"/>
              <w:keepNext w:val="0"/>
              <w:keepLines w:val="0"/>
              <w:pageBreakBefore w:val="0"/>
              <w:widowControl w:val="0"/>
              <w:kinsoku/>
              <w:wordWrap w:val="0"/>
              <w:overflowPunct/>
              <w:topLinePunct w:val="0"/>
              <w:autoSpaceDE/>
              <w:autoSpaceDN/>
              <w:bidi w:val="0"/>
              <w:adjustRightInd/>
              <w:spacing w:line="440" w:lineRule="exact"/>
              <w:ind w:right="0" w:righ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根据采购人实际需求，针对项目实际情况，供应商对所供货品安装调试制定详细计划方案和措施，根据供应商提供的方案进行打分：</w:t>
            </w:r>
          </w:p>
          <w:p w14:paraId="0B404A8D">
            <w:pPr>
              <w:pStyle w:val="33"/>
              <w:keepNext w:val="0"/>
              <w:keepLines w:val="0"/>
              <w:pageBreakBefore w:val="0"/>
              <w:widowControl w:val="0"/>
              <w:kinsoku/>
              <w:wordWrap w:val="0"/>
              <w:overflowPunct/>
              <w:topLinePunct w:val="0"/>
              <w:autoSpaceDE/>
              <w:autoSpaceDN/>
              <w:bidi w:val="0"/>
              <w:adjustRightInd/>
              <w:spacing w:line="440" w:lineRule="exact"/>
              <w:ind w:right="0" w:righ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方案全面、详尽、合理、措施有保障，技术质量有保障、完全满足项目需求的得5分；</w:t>
            </w:r>
          </w:p>
          <w:p w14:paraId="3B44E7B3">
            <w:pPr>
              <w:pStyle w:val="33"/>
              <w:keepNext w:val="0"/>
              <w:keepLines w:val="0"/>
              <w:pageBreakBefore w:val="0"/>
              <w:widowControl w:val="0"/>
              <w:kinsoku/>
              <w:wordWrap w:val="0"/>
              <w:overflowPunct/>
              <w:topLinePunct w:val="0"/>
              <w:autoSpaceDE/>
              <w:autoSpaceDN/>
              <w:bidi w:val="0"/>
              <w:adjustRightInd/>
              <w:spacing w:line="440" w:lineRule="exact"/>
              <w:ind w:right="0" w:righ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方案基本满足招标要求的，得3分；</w:t>
            </w:r>
          </w:p>
          <w:p w14:paraId="0AB5046F">
            <w:pPr>
              <w:pStyle w:val="33"/>
              <w:keepNext w:val="0"/>
              <w:keepLines w:val="0"/>
              <w:pageBreakBefore w:val="0"/>
              <w:widowControl w:val="0"/>
              <w:kinsoku/>
              <w:wordWrap w:val="0"/>
              <w:overflowPunct/>
              <w:topLinePunct w:val="0"/>
              <w:autoSpaceDE/>
              <w:autoSpaceDN/>
              <w:bidi w:val="0"/>
              <w:adjustRightInd/>
              <w:spacing w:line="440" w:lineRule="exact"/>
              <w:ind w:right="0" w:righ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方案较差，不能满足需求的得1分；</w:t>
            </w:r>
          </w:p>
          <w:p w14:paraId="6EBE24BF">
            <w:pPr>
              <w:pStyle w:val="33"/>
              <w:keepNext w:val="0"/>
              <w:keepLines w:val="0"/>
              <w:pageBreakBefore w:val="0"/>
              <w:widowControl w:val="0"/>
              <w:kinsoku/>
              <w:wordWrap w:val="0"/>
              <w:overflowPunct/>
              <w:topLinePunct w:val="0"/>
              <w:autoSpaceDE/>
              <w:autoSpaceDN/>
              <w:bidi w:val="0"/>
              <w:adjustRightInd/>
              <w:spacing w:line="440" w:lineRule="exact"/>
              <w:ind w:right="0" w:righ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缺项得0分。</w:t>
            </w:r>
          </w:p>
        </w:tc>
      </w:tr>
      <w:tr w14:paraId="16568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452" w:hRule="atLeast"/>
          <w:jc w:val="center"/>
        </w:trPr>
        <w:tc>
          <w:tcPr>
            <w:tcW w:w="1175" w:type="dxa"/>
            <w:vMerge w:val="continue"/>
            <w:vAlign w:val="center"/>
          </w:tcPr>
          <w:p w14:paraId="78B8B9E0">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tc>
        <w:tc>
          <w:tcPr>
            <w:tcW w:w="1545" w:type="dxa"/>
            <w:vAlign w:val="center"/>
          </w:tcPr>
          <w:p w14:paraId="78EDFDCC">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质量保障措施</w:t>
            </w:r>
          </w:p>
          <w:p w14:paraId="2AF94741">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color w:val="auto"/>
                <w:sz w:val="21"/>
                <w:szCs w:val="21"/>
                <w:highlight w:val="none"/>
                <w:lang w:val="zh-CN"/>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val="zh-CN"/>
              </w:rPr>
              <w:t>分）</w:t>
            </w:r>
          </w:p>
        </w:tc>
        <w:tc>
          <w:tcPr>
            <w:tcW w:w="7246" w:type="dxa"/>
            <w:vAlign w:val="center"/>
          </w:tcPr>
          <w:p w14:paraId="19B2D239">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供应商针对本项目提供的质量保障措施完全满足项目需求得</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val="zh-CN"/>
              </w:rPr>
              <w:t>分；</w:t>
            </w:r>
          </w:p>
          <w:p w14:paraId="6823F2E0">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质量保障措施满足项目需求得</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val="zh-CN"/>
              </w:rPr>
              <w:t>分；</w:t>
            </w:r>
          </w:p>
          <w:p w14:paraId="1D0B59CE">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质量保障不完全满足项目需求得</w:t>
            </w: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zh-CN"/>
              </w:rPr>
              <w:t>分；</w:t>
            </w:r>
          </w:p>
          <w:p w14:paraId="79031FD3">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zh-CN"/>
              </w:rPr>
              <w:t>质量保障措施不满足项目需求得0分。</w:t>
            </w:r>
          </w:p>
        </w:tc>
      </w:tr>
      <w:tr w14:paraId="68037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18" w:hRule="atLeast"/>
          <w:jc w:val="center"/>
        </w:trPr>
        <w:tc>
          <w:tcPr>
            <w:tcW w:w="1175" w:type="dxa"/>
            <w:vMerge w:val="restart"/>
            <w:vAlign w:val="center"/>
          </w:tcPr>
          <w:p w14:paraId="3C1DBF4F">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综合</w:t>
            </w:r>
            <w:r>
              <w:rPr>
                <w:rFonts w:hint="eastAsia" w:ascii="宋体" w:hAnsi="宋体" w:eastAsia="宋体" w:cs="宋体"/>
                <w:color w:val="auto"/>
                <w:sz w:val="21"/>
                <w:szCs w:val="21"/>
                <w:highlight w:val="none"/>
              </w:rPr>
              <w:t>部分</w:t>
            </w:r>
          </w:p>
          <w:p w14:paraId="4F543CBE">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27</w:t>
            </w:r>
            <w:r>
              <w:rPr>
                <w:rFonts w:hint="eastAsia" w:ascii="宋体" w:hAnsi="宋体" w:eastAsia="宋体" w:cs="宋体"/>
                <w:color w:val="auto"/>
                <w:sz w:val="21"/>
                <w:szCs w:val="21"/>
                <w:highlight w:val="none"/>
              </w:rPr>
              <w:t>分）</w:t>
            </w:r>
          </w:p>
        </w:tc>
        <w:tc>
          <w:tcPr>
            <w:tcW w:w="1545" w:type="dxa"/>
            <w:vAlign w:val="center"/>
          </w:tcPr>
          <w:p w14:paraId="3D408665">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业绩</w:t>
            </w:r>
          </w:p>
          <w:p w14:paraId="6AAD71DA">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12</w:t>
            </w:r>
            <w:r>
              <w:rPr>
                <w:rFonts w:hint="eastAsia" w:ascii="宋体" w:hAnsi="宋体" w:eastAsia="宋体" w:cs="宋体"/>
                <w:color w:val="auto"/>
                <w:sz w:val="21"/>
                <w:szCs w:val="21"/>
                <w:highlight w:val="none"/>
              </w:rPr>
              <w:t>分）</w:t>
            </w:r>
          </w:p>
        </w:tc>
        <w:tc>
          <w:tcPr>
            <w:tcW w:w="7246" w:type="dxa"/>
            <w:vAlign w:val="center"/>
          </w:tcPr>
          <w:p w14:paraId="4BD29B9E">
            <w:pPr>
              <w:keepNext w:val="0"/>
              <w:keepLines w:val="0"/>
              <w:pageBreakBefore w:val="0"/>
              <w:widowControl w:val="0"/>
              <w:kinsoku/>
              <w:overflowPunct/>
              <w:topLinePunct w:val="0"/>
              <w:autoSpaceDE/>
              <w:autoSpaceDN/>
              <w:bidi w:val="0"/>
              <w:adjustRightInd/>
              <w:spacing w:line="440" w:lineRule="exact"/>
              <w:ind w:right="0" w:rightChars="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供应商应提供2020年1月1日（含）以来类似业绩：每提供一个得</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分，本项最多得</w:t>
            </w:r>
            <w:r>
              <w:rPr>
                <w:rFonts w:hint="eastAsia" w:ascii="宋体" w:hAnsi="宋体" w:eastAsia="宋体" w:cs="宋体"/>
                <w:color w:val="auto"/>
                <w:sz w:val="21"/>
                <w:szCs w:val="21"/>
                <w:highlight w:val="none"/>
                <w:lang w:val="en-US" w:eastAsia="zh-CN"/>
              </w:rPr>
              <w:t>12</w:t>
            </w:r>
            <w:r>
              <w:rPr>
                <w:rFonts w:hint="eastAsia" w:ascii="宋体" w:hAnsi="宋体" w:eastAsia="宋体" w:cs="宋体"/>
                <w:color w:val="auto"/>
                <w:sz w:val="21"/>
                <w:szCs w:val="21"/>
                <w:highlight w:val="none"/>
              </w:rPr>
              <w:t>分。 每一个业绩证明以合同原件扫描件为准。不提供或不按要求提供或缺项提供不得分。时间以合同签订时间为准。</w:t>
            </w:r>
          </w:p>
        </w:tc>
      </w:tr>
      <w:tr w14:paraId="53EC6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18" w:hRule="atLeast"/>
          <w:jc w:val="center"/>
        </w:trPr>
        <w:tc>
          <w:tcPr>
            <w:tcW w:w="1175" w:type="dxa"/>
            <w:vMerge w:val="continue"/>
            <w:vAlign w:val="center"/>
          </w:tcPr>
          <w:p w14:paraId="09B42B0C">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tc>
        <w:tc>
          <w:tcPr>
            <w:tcW w:w="1545" w:type="dxa"/>
            <w:vAlign w:val="center"/>
          </w:tcPr>
          <w:p w14:paraId="6A26EF6E">
            <w:pPr>
              <w:keepNext w:val="0"/>
              <w:keepLines w:val="0"/>
              <w:pageBreakBefore w:val="0"/>
              <w:widowControl w:val="0"/>
              <w:numPr>
                <w:ilvl w:val="0"/>
                <w:numId w:val="0"/>
              </w:numPr>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优先采购节能、环保产品（2分）</w:t>
            </w:r>
          </w:p>
        </w:tc>
        <w:tc>
          <w:tcPr>
            <w:tcW w:w="7246" w:type="dxa"/>
            <w:vAlign w:val="center"/>
          </w:tcPr>
          <w:p w14:paraId="1B553F3A">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（1）节能产品（政府强制采购的节能产品除外）：对供应商所投报产品有属于节能产品的且具备国家确定的认证机构出具的、处于有效期之内节能产品认证证书的产品，每有一项得的0.5分；最多得1分。</w:t>
            </w:r>
          </w:p>
          <w:p w14:paraId="69008F17">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（2）环保产品：对供应商所投报产品有属于环境标志产品的且具备国家确定的认证机构出具的、处于有效期之内环境标志产品认证证书的，每有一项得的0.5分；最多得1分。</w:t>
            </w:r>
          </w:p>
          <w:p w14:paraId="6FED1F88">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auto"/>
                <w:sz w:val="21"/>
                <w:szCs w:val="21"/>
                <w:highlight w:val="none"/>
              </w:rPr>
            </w:pPr>
            <w:r>
              <w:rPr>
                <w:rFonts w:hint="eastAsia" w:ascii="宋体" w:hAnsi="宋体" w:eastAsia="宋体" w:cs="宋体"/>
                <w:b w:val="0"/>
                <w:bCs w:val="0"/>
                <w:color w:val="auto"/>
                <w:sz w:val="21"/>
                <w:szCs w:val="21"/>
                <w:highlight w:val="none"/>
              </w:rPr>
              <w:t>注：投标文件中附证书复印件加盖</w:t>
            </w:r>
            <w:r>
              <w:rPr>
                <w:rFonts w:hint="eastAsia" w:ascii="宋体" w:hAnsi="宋体" w:eastAsia="宋体" w:cs="宋体"/>
                <w:b w:val="0"/>
                <w:bCs w:val="0"/>
                <w:color w:val="auto"/>
                <w:sz w:val="21"/>
                <w:szCs w:val="21"/>
                <w:highlight w:val="none"/>
                <w:lang w:eastAsia="zh-CN"/>
              </w:rPr>
              <w:t>供应商</w:t>
            </w:r>
            <w:r>
              <w:rPr>
                <w:rFonts w:hint="eastAsia" w:ascii="宋体" w:hAnsi="宋体" w:eastAsia="宋体" w:cs="宋体"/>
                <w:b w:val="0"/>
                <w:bCs w:val="0"/>
                <w:color w:val="auto"/>
                <w:sz w:val="21"/>
                <w:szCs w:val="21"/>
                <w:highlight w:val="none"/>
              </w:rPr>
              <w:t>供应商公章，否则不予承认。</w:t>
            </w:r>
          </w:p>
        </w:tc>
      </w:tr>
      <w:tr w14:paraId="7CE05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7" w:hRule="atLeast"/>
          <w:jc w:val="center"/>
        </w:trPr>
        <w:tc>
          <w:tcPr>
            <w:tcW w:w="1175" w:type="dxa"/>
            <w:vMerge w:val="continue"/>
            <w:vAlign w:val="center"/>
          </w:tcPr>
          <w:p w14:paraId="15BAA6C1">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tc>
        <w:tc>
          <w:tcPr>
            <w:tcW w:w="1545" w:type="dxa"/>
            <w:vAlign w:val="center"/>
          </w:tcPr>
          <w:p w14:paraId="4BE27AFA">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auto"/>
                <w:kern w:val="10"/>
                <w:sz w:val="21"/>
                <w:szCs w:val="21"/>
                <w:highlight w:val="none"/>
              </w:rPr>
            </w:pPr>
            <w:r>
              <w:rPr>
                <w:rFonts w:hint="eastAsia" w:ascii="宋体" w:hAnsi="宋体" w:eastAsia="宋体" w:cs="宋体"/>
                <w:color w:val="auto"/>
                <w:kern w:val="10"/>
                <w:sz w:val="21"/>
                <w:szCs w:val="21"/>
                <w:highlight w:val="none"/>
              </w:rPr>
              <w:t>质保期</w:t>
            </w:r>
          </w:p>
          <w:p w14:paraId="0D061077">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10"/>
                <w:sz w:val="21"/>
                <w:szCs w:val="21"/>
                <w:highlight w:val="none"/>
              </w:rPr>
              <w:t>（</w:t>
            </w:r>
            <w:r>
              <w:rPr>
                <w:rFonts w:hint="eastAsia" w:ascii="宋体" w:hAnsi="宋体" w:eastAsia="宋体" w:cs="宋体"/>
                <w:color w:val="auto"/>
                <w:kern w:val="10"/>
                <w:sz w:val="21"/>
                <w:szCs w:val="21"/>
                <w:highlight w:val="none"/>
                <w:lang w:val="en-US" w:eastAsia="zh-CN"/>
              </w:rPr>
              <w:t>3</w:t>
            </w:r>
            <w:r>
              <w:rPr>
                <w:rFonts w:hint="eastAsia" w:ascii="宋体" w:hAnsi="宋体" w:eastAsia="宋体" w:cs="宋体"/>
                <w:color w:val="auto"/>
                <w:kern w:val="10"/>
                <w:sz w:val="21"/>
                <w:szCs w:val="21"/>
                <w:highlight w:val="none"/>
              </w:rPr>
              <w:t>分）</w:t>
            </w:r>
          </w:p>
        </w:tc>
        <w:tc>
          <w:tcPr>
            <w:tcW w:w="7246" w:type="dxa"/>
            <w:vAlign w:val="center"/>
          </w:tcPr>
          <w:p w14:paraId="0F71E7BD">
            <w:pPr>
              <w:keepNext w:val="0"/>
              <w:keepLines w:val="0"/>
              <w:pageBreakBefore w:val="0"/>
              <w:widowControl w:val="0"/>
              <w:kinsoku/>
              <w:overflowPunct/>
              <w:topLinePunct w:val="0"/>
              <w:autoSpaceDE/>
              <w:autoSpaceDN/>
              <w:bidi w:val="0"/>
              <w:adjustRightInd/>
              <w:snapToGrid w:val="0"/>
              <w:spacing w:line="440" w:lineRule="exact"/>
              <w:ind w:right="0" w:righ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供应商需要针对本项目提供明确的质保期，在满足招标文件要求的基础上，质保期每增加1年得1分（不足1年不加分）此项最多加</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 xml:space="preserve"> 分。</w:t>
            </w:r>
          </w:p>
        </w:tc>
      </w:tr>
      <w:tr w14:paraId="20B1C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175" w:type="dxa"/>
            <w:vMerge w:val="continue"/>
            <w:vAlign w:val="center"/>
          </w:tcPr>
          <w:p w14:paraId="5E45D335">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tc>
        <w:tc>
          <w:tcPr>
            <w:tcW w:w="1545" w:type="dxa"/>
            <w:vMerge w:val="restart"/>
            <w:vAlign w:val="center"/>
          </w:tcPr>
          <w:p w14:paraId="27EB636D">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售后服务方案（1</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分）</w:t>
            </w:r>
          </w:p>
        </w:tc>
        <w:tc>
          <w:tcPr>
            <w:tcW w:w="7246" w:type="dxa"/>
            <w:vAlign w:val="center"/>
          </w:tcPr>
          <w:p w14:paraId="130F1BEB">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质保期内售后服务：质保期内售后服务有明确服务内容，服务计划，有详细的服务承诺书、故障响应计划、应急处理方案及维修保养方案、措施、技术支持。服务内容完善、服务计划合理，得</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分，</w:t>
            </w:r>
          </w:p>
          <w:p w14:paraId="7BAF32E6">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服务内容基本完善、服务计划基本合理得2分，</w:t>
            </w:r>
          </w:p>
          <w:p w14:paraId="5F7D69F2">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服务内容不完善、服务计划不合理得1分，</w:t>
            </w:r>
          </w:p>
          <w:p w14:paraId="39EADAA5">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缺项得0分。</w:t>
            </w:r>
          </w:p>
        </w:tc>
      </w:tr>
      <w:tr w14:paraId="5F541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175" w:type="dxa"/>
            <w:vMerge w:val="continue"/>
            <w:vAlign w:val="center"/>
          </w:tcPr>
          <w:p w14:paraId="0768AF81">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tc>
        <w:tc>
          <w:tcPr>
            <w:tcW w:w="1545" w:type="dxa"/>
            <w:vMerge w:val="continue"/>
            <w:vAlign w:val="center"/>
          </w:tcPr>
          <w:p w14:paraId="1D8746A7">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tc>
        <w:tc>
          <w:tcPr>
            <w:tcW w:w="7246" w:type="dxa"/>
            <w:vAlign w:val="center"/>
          </w:tcPr>
          <w:p w14:paraId="7DFAA3CC">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质保期外售后服务：服务全面优惠得</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分，</w:t>
            </w:r>
          </w:p>
          <w:p w14:paraId="59C840D3">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auto"/>
                <w:kern w:val="2"/>
                <w:sz w:val="21"/>
                <w:szCs w:val="21"/>
                <w:highlight w:val="none"/>
                <w:lang w:val="zh-CN" w:eastAsia="zh-CN" w:bidi="ar-SA"/>
              </w:rPr>
            </w:pPr>
            <w:r>
              <w:rPr>
                <w:rFonts w:hint="eastAsia" w:ascii="宋体" w:hAnsi="宋体" w:eastAsia="宋体" w:cs="宋体"/>
                <w:color w:val="auto"/>
                <w:sz w:val="21"/>
                <w:szCs w:val="21"/>
                <w:highlight w:val="none"/>
              </w:rPr>
              <w:t>服务基本全面得2分，</w:t>
            </w:r>
          </w:p>
          <w:p w14:paraId="489AC94C">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auto"/>
                <w:kern w:val="2"/>
                <w:sz w:val="21"/>
                <w:szCs w:val="21"/>
                <w:highlight w:val="none"/>
                <w:lang w:val="zh-CN" w:eastAsia="zh-CN" w:bidi="ar-SA"/>
              </w:rPr>
            </w:pPr>
            <w:r>
              <w:rPr>
                <w:rFonts w:hint="eastAsia" w:ascii="宋体" w:hAnsi="宋体" w:eastAsia="宋体" w:cs="宋体"/>
                <w:color w:val="auto"/>
                <w:sz w:val="21"/>
                <w:szCs w:val="21"/>
                <w:highlight w:val="none"/>
              </w:rPr>
              <w:t>服务内容不完善，不优惠得1分，缺项得0分。</w:t>
            </w:r>
          </w:p>
        </w:tc>
      </w:tr>
      <w:tr w14:paraId="58EBF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175" w:type="dxa"/>
            <w:vMerge w:val="continue"/>
            <w:vAlign w:val="center"/>
          </w:tcPr>
          <w:p w14:paraId="482D0187">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tc>
        <w:tc>
          <w:tcPr>
            <w:tcW w:w="1545" w:type="dxa"/>
            <w:vMerge w:val="continue"/>
            <w:vAlign w:val="center"/>
          </w:tcPr>
          <w:p w14:paraId="52A02F08">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tc>
        <w:tc>
          <w:tcPr>
            <w:tcW w:w="7246" w:type="dxa"/>
            <w:vAlign w:val="center"/>
          </w:tcPr>
          <w:p w14:paraId="328B6A87">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响应时间承诺：供应商对于供货时间、供货过程中所产生的问题</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积极响应处理的承诺及方案，承诺并提供完善具体方案的，得</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分，</w:t>
            </w:r>
          </w:p>
          <w:p w14:paraId="018B97F3">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auto"/>
                <w:kern w:val="2"/>
                <w:sz w:val="21"/>
                <w:szCs w:val="21"/>
                <w:highlight w:val="none"/>
                <w:lang w:val="en-US" w:eastAsia="zh-CN" w:bidi="ar"/>
              </w:rPr>
            </w:pPr>
            <w:r>
              <w:rPr>
                <w:rFonts w:hint="eastAsia" w:ascii="宋体" w:hAnsi="宋体" w:eastAsia="宋体" w:cs="宋体"/>
                <w:color w:val="auto"/>
                <w:sz w:val="21"/>
                <w:szCs w:val="21"/>
                <w:highlight w:val="none"/>
              </w:rPr>
              <w:t>承诺并提供基本不够具体方案的，得</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分，</w:t>
            </w:r>
          </w:p>
          <w:p w14:paraId="6DEF49E6">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auto"/>
                <w:kern w:val="2"/>
                <w:sz w:val="21"/>
                <w:szCs w:val="21"/>
                <w:highlight w:val="none"/>
                <w:lang w:val="en-US" w:eastAsia="zh-CN" w:bidi="ar"/>
              </w:rPr>
            </w:pPr>
            <w:r>
              <w:rPr>
                <w:rFonts w:hint="eastAsia" w:ascii="宋体" w:hAnsi="宋体" w:eastAsia="宋体" w:cs="宋体"/>
                <w:color w:val="auto"/>
                <w:sz w:val="21"/>
                <w:szCs w:val="21"/>
                <w:highlight w:val="none"/>
              </w:rPr>
              <w:t>缺项得0分。</w:t>
            </w:r>
          </w:p>
        </w:tc>
      </w:tr>
      <w:tr w14:paraId="6C78A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175" w:type="dxa"/>
            <w:vMerge w:val="continue"/>
            <w:vAlign w:val="center"/>
          </w:tcPr>
          <w:p w14:paraId="24CE5C8F">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tc>
        <w:tc>
          <w:tcPr>
            <w:tcW w:w="1545" w:type="dxa"/>
            <w:vMerge w:val="continue"/>
            <w:vAlign w:val="center"/>
          </w:tcPr>
          <w:p w14:paraId="747B1858">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auto"/>
                <w:sz w:val="21"/>
                <w:szCs w:val="21"/>
                <w:highlight w:val="none"/>
              </w:rPr>
            </w:pPr>
          </w:p>
        </w:tc>
        <w:tc>
          <w:tcPr>
            <w:tcW w:w="7246" w:type="dxa"/>
            <w:vAlign w:val="center"/>
          </w:tcPr>
          <w:p w14:paraId="62674E11">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4.其他：供应商提供的其他实质性优惠条件。</w:t>
            </w:r>
          </w:p>
          <w:p w14:paraId="1C7D11CF">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auto"/>
                <w:kern w:val="2"/>
                <w:sz w:val="21"/>
                <w:szCs w:val="21"/>
                <w:highlight w:val="none"/>
                <w:lang w:val="en-US" w:eastAsia="zh-CN" w:bidi="ar"/>
              </w:rPr>
            </w:pPr>
            <w:r>
              <w:rPr>
                <w:rFonts w:hint="eastAsia" w:ascii="宋体" w:hAnsi="宋体" w:eastAsia="宋体" w:cs="宋体"/>
                <w:color w:val="auto"/>
                <w:sz w:val="21"/>
                <w:szCs w:val="21"/>
                <w:highlight w:val="none"/>
              </w:rPr>
              <w:t>实质性优惠条件全面，能落到实处得</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分，实质性优惠条件基本全面，能基本落到实处得</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分，实质性优惠条件不全面，不能落到实处</w:t>
            </w:r>
            <w:r>
              <w:rPr>
                <w:rFonts w:hint="eastAsia" w:ascii="宋体" w:hAnsi="宋体" w:eastAsia="宋体" w:cs="宋体"/>
                <w:color w:val="auto"/>
                <w:sz w:val="21"/>
                <w:szCs w:val="21"/>
                <w:highlight w:val="none"/>
                <w:lang w:eastAsia="zh-CN"/>
              </w:rPr>
              <w:t>或缺项者</w:t>
            </w:r>
            <w:r>
              <w:rPr>
                <w:rFonts w:hint="eastAsia" w:ascii="宋体" w:hAnsi="宋体" w:eastAsia="宋体" w:cs="宋体"/>
                <w:color w:val="auto"/>
                <w:sz w:val="21"/>
                <w:szCs w:val="21"/>
                <w:highlight w:val="none"/>
              </w:rPr>
              <w:t>得</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分。</w:t>
            </w:r>
          </w:p>
        </w:tc>
      </w:tr>
      <w:tr w14:paraId="3836F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86" w:hRule="atLeast"/>
          <w:jc w:val="center"/>
        </w:trPr>
        <w:tc>
          <w:tcPr>
            <w:tcW w:w="9966" w:type="dxa"/>
            <w:gridSpan w:val="3"/>
            <w:vAlign w:val="center"/>
          </w:tcPr>
          <w:p w14:paraId="6EF836C4">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最终得分＝报价部分+技术部分+商务</w:t>
            </w:r>
            <w:r>
              <w:rPr>
                <w:rFonts w:hint="eastAsia" w:ascii="宋体" w:hAnsi="宋体" w:eastAsia="宋体" w:cs="宋体"/>
                <w:color w:val="auto"/>
                <w:sz w:val="21"/>
                <w:szCs w:val="21"/>
                <w:highlight w:val="none"/>
              </w:rPr>
              <w:t>部分+售后部分。</w:t>
            </w:r>
          </w:p>
          <w:p w14:paraId="4E365E7B">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最终得分为评委的评分结果取平均值后作为该供应商的最终得分。</w:t>
            </w:r>
          </w:p>
          <w:p w14:paraId="5E98EEFA">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本评标办法在</w:t>
            </w:r>
            <w:r>
              <w:rPr>
                <w:rFonts w:hint="eastAsia" w:ascii="宋体" w:hAnsi="宋体" w:eastAsia="宋体" w:cs="宋体"/>
                <w:color w:val="auto"/>
                <w:sz w:val="21"/>
                <w:szCs w:val="21"/>
                <w:highlight w:val="none"/>
              </w:rPr>
              <w:t>本办法计算过程中分值按四舍五入保留二位小数。</w:t>
            </w:r>
          </w:p>
        </w:tc>
      </w:tr>
    </w:tbl>
    <w:p w14:paraId="3B09F1C8">
      <w:pPr>
        <w:tabs>
          <w:tab w:val="left" w:pos="170"/>
          <w:tab w:val="left" w:pos="303"/>
          <w:tab w:val="left" w:pos="420"/>
        </w:tabs>
        <w:adjustRightInd w:val="0"/>
        <w:snapToGrid w:val="0"/>
        <w:spacing w:line="560" w:lineRule="exact"/>
        <w:outlineLvl w:val="1"/>
        <w:rPr>
          <w:rFonts w:ascii="宋体" w:hAnsi="宋体" w:cs="宋体"/>
          <w:b/>
          <w:color w:val="auto"/>
          <w:szCs w:val="21"/>
          <w:highlight w:val="none"/>
        </w:rPr>
      </w:pPr>
      <w:bookmarkStart w:id="249" w:name="_Toc19403"/>
      <w:bookmarkStart w:id="250" w:name="_Toc21064"/>
      <w:bookmarkStart w:id="251" w:name="_Toc465502579"/>
      <w:bookmarkStart w:id="252" w:name="_Toc454147538"/>
      <w:bookmarkStart w:id="253" w:name="_Toc466017207"/>
      <w:bookmarkStart w:id="254" w:name="_Toc426369531"/>
      <w:bookmarkStart w:id="255" w:name="_Toc31084"/>
      <w:bookmarkStart w:id="256" w:name="_Toc403122541"/>
      <w:bookmarkStart w:id="257" w:name="_Toc2761070"/>
      <w:r>
        <w:rPr>
          <w:rFonts w:ascii="宋体" w:hAnsi="宋体" w:cs="宋体"/>
          <w:b/>
          <w:color w:val="auto"/>
          <w:szCs w:val="21"/>
          <w:highlight w:val="none"/>
        </w:rPr>
        <w:t>1.</w:t>
      </w:r>
      <w:r>
        <w:rPr>
          <w:rFonts w:hint="eastAsia" w:ascii="宋体" w:hAnsi="宋体" w:cs="宋体"/>
          <w:b/>
          <w:color w:val="auto"/>
          <w:szCs w:val="21"/>
          <w:highlight w:val="none"/>
        </w:rPr>
        <w:t xml:space="preserve"> </w:t>
      </w:r>
      <w:bookmarkStart w:id="258" w:name="_Toc10429"/>
      <w:bookmarkStart w:id="259" w:name="_Toc3350"/>
      <w:bookmarkStart w:id="260" w:name="_Toc6843"/>
      <w:r>
        <w:rPr>
          <w:rFonts w:hint="eastAsia" w:ascii="宋体" w:hAnsi="宋体" w:cs="宋体"/>
          <w:b/>
          <w:color w:val="auto"/>
          <w:szCs w:val="21"/>
          <w:highlight w:val="none"/>
        </w:rPr>
        <w:t>评标准则和评标方法</w:t>
      </w:r>
      <w:bookmarkEnd w:id="249"/>
      <w:bookmarkEnd w:id="250"/>
      <w:bookmarkEnd w:id="251"/>
      <w:bookmarkEnd w:id="252"/>
      <w:bookmarkEnd w:id="253"/>
      <w:bookmarkEnd w:id="258"/>
      <w:bookmarkEnd w:id="259"/>
      <w:bookmarkEnd w:id="260"/>
    </w:p>
    <w:p w14:paraId="1F8EA1DF">
      <w:pPr>
        <w:adjustRightInd w:val="0"/>
        <w:snapToGrid w:val="0"/>
        <w:spacing w:line="5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1.1 评标过程将遵循“公平、公正、科学、择优”的原则进行。</w:t>
      </w:r>
    </w:p>
    <w:p w14:paraId="6FB99950">
      <w:pPr>
        <w:adjustRightInd w:val="0"/>
        <w:snapToGrid w:val="0"/>
        <w:spacing w:line="5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1.2 评标将严格按照招标文件的要求和条件进行。</w:t>
      </w:r>
    </w:p>
    <w:p w14:paraId="411AF38F">
      <w:pPr>
        <w:adjustRightInd w:val="0"/>
        <w:snapToGrid w:val="0"/>
        <w:spacing w:line="5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1.3 本次评标采用综合评分法。</w:t>
      </w:r>
    </w:p>
    <w:p w14:paraId="624581AF">
      <w:pPr>
        <w:tabs>
          <w:tab w:val="left" w:pos="170"/>
          <w:tab w:val="left" w:pos="303"/>
          <w:tab w:val="left" w:pos="420"/>
        </w:tabs>
        <w:adjustRightInd w:val="0"/>
        <w:snapToGrid w:val="0"/>
        <w:spacing w:line="560" w:lineRule="exact"/>
        <w:outlineLvl w:val="1"/>
        <w:rPr>
          <w:rFonts w:ascii="宋体" w:hAnsi="宋体" w:cs="宋体"/>
          <w:b/>
          <w:color w:val="auto"/>
          <w:szCs w:val="21"/>
          <w:highlight w:val="none"/>
        </w:rPr>
      </w:pPr>
      <w:bookmarkStart w:id="261" w:name="_Toc15449"/>
      <w:bookmarkStart w:id="262" w:name="_Toc8852"/>
      <w:bookmarkStart w:id="263" w:name="_Toc454147539"/>
      <w:bookmarkStart w:id="264" w:name="_Toc3472"/>
      <w:bookmarkStart w:id="265" w:name="_Toc466017208"/>
      <w:bookmarkStart w:id="266" w:name="_Toc13195"/>
      <w:bookmarkStart w:id="267" w:name="_Toc465502580"/>
      <w:bookmarkStart w:id="268" w:name="_Toc7951"/>
      <w:r>
        <w:rPr>
          <w:rFonts w:ascii="宋体" w:hAnsi="宋体" w:cs="宋体"/>
          <w:b/>
          <w:color w:val="auto"/>
          <w:szCs w:val="21"/>
          <w:highlight w:val="none"/>
        </w:rPr>
        <w:t>2.</w:t>
      </w:r>
      <w:r>
        <w:rPr>
          <w:rFonts w:hint="eastAsia" w:ascii="宋体" w:hAnsi="宋体" w:cs="宋体"/>
          <w:b/>
          <w:color w:val="auto"/>
          <w:szCs w:val="21"/>
          <w:highlight w:val="none"/>
        </w:rPr>
        <w:t>评审标准</w:t>
      </w:r>
      <w:bookmarkEnd w:id="261"/>
      <w:bookmarkEnd w:id="262"/>
      <w:bookmarkEnd w:id="263"/>
      <w:bookmarkEnd w:id="264"/>
      <w:bookmarkEnd w:id="265"/>
      <w:bookmarkEnd w:id="266"/>
      <w:bookmarkEnd w:id="267"/>
      <w:bookmarkEnd w:id="268"/>
    </w:p>
    <w:p w14:paraId="0A46EEA7">
      <w:pPr>
        <w:adjustRightInd w:val="0"/>
        <w:snapToGrid w:val="0"/>
        <w:spacing w:line="5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2.1 资格评审标准：详见《评分办法前附表》中资格评审标准。</w:t>
      </w:r>
    </w:p>
    <w:p w14:paraId="21094B66">
      <w:pPr>
        <w:adjustRightInd w:val="0"/>
        <w:snapToGrid w:val="0"/>
        <w:spacing w:line="560" w:lineRule="exact"/>
        <w:ind w:firstLine="420" w:firstLineChars="200"/>
        <w:rPr>
          <w:rFonts w:ascii="宋体" w:hAnsi="宋体" w:cs="宋体"/>
          <w:color w:val="auto"/>
          <w:szCs w:val="21"/>
          <w:highlight w:val="none"/>
        </w:rPr>
      </w:pPr>
      <w:bookmarkStart w:id="269" w:name="_Toc4292"/>
      <w:bookmarkStart w:id="270" w:name="_Toc11065"/>
      <w:bookmarkStart w:id="271" w:name="_Toc19609"/>
      <w:bookmarkStart w:id="272" w:name="_Toc7963"/>
      <w:r>
        <w:rPr>
          <w:rFonts w:hint="eastAsia" w:ascii="宋体" w:hAnsi="宋体" w:cs="宋体"/>
          <w:color w:val="auto"/>
          <w:szCs w:val="21"/>
          <w:highlight w:val="none"/>
        </w:rPr>
        <w:t>2.2 评分标准：详见《评分办法前附表》商务部分、技术部分、</w:t>
      </w:r>
      <w:r>
        <w:rPr>
          <w:rFonts w:hint="eastAsia" w:ascii="宋体" w:hAnsi="宋体" w:cs="宋体"/>
          <w:color w:val="auto"/>
          <w:szCs w:val="21"/>
          <w:highlight w:val="none"/>
          <w:lang w:val="en-US" w:eastAsia="zh-CN"/>
        </w:rPr>
        <w:t>综合</w:t>
      </w:r>
      <w:r>
        <w:rPr>
          <w:rFonts w:hint="eastAsia" w:ascii="宋体" w:hAnsi="宋体" w:cs="宋体"/>
          <w:color w:val="auto"/>
          <w:szCs w:val="21"/>
          <w:highlight w:val="none"/>
        </w:rPr>
        <w:t>部分评审因素。</w:t>
      </w:r>
    </w:p>
    <w:p w14:paraId="111192B0">
      <w:pPr>
        <w:tabs>
          <w:tab w:val="left" w:pos="170"/>
          <w:tab w:val="left" w:pos="303"/>
          <w:tab w:val="left" w:pos="420"/>
        </w:tabs>
        <w:adjustRightInd w:val="0"/>
        <w:snapToGrid w:val="0"/>
        <w:spacing w:line="560" w:lineRule="exact"/>
        <w:outlineLvl w:val="1"/>
        <w:rPr>
          <w:rFonts w:ascii="宋体" w:hAnsi="宋体" w:cs="宋体"/>
          <w:b/>
          <w:color w:val="auto"/>
          <w:szCs w:val="21"/>
          <w:highlight w:val="none"/>
        </w:rPr>
      </w:pPr>
      <w:r>
        <w:rPr>
          <w:rFonts w:ascii="宋体" w:hAnsi="宋体" w:cs="宋体"/>
          <w:b/>
          <w:color w:val="auto"/>
          <w:szCs w:val="21"/>
          <w:highlight w:val="none"/>
        </w:rPr>
        <w:t>3.</w:t>
      </w:r>
      <w:r>
        <w:rPr>
          <w:rFonts w:hint="eastAsia" w:ascii="宋体" w:hAnsi="宋体" w:cs="宋体"/>
          <w:b/>
          <w:color w:val="auto"/>
          <w:szCs w:val="21"/>
          <w:highlight w:val="none"/>
        </w:rPr>
        <w:t>评标程序</w:t>
      </w:r>
      <w:bookmarkEnd w:id="269"/>
      <w:bookmarkEnd w:id="270"/>
      <w:bookmarkEnd w:id="271"/>
      <w:bookmarkEnd w:id="272"/>
    </w:p>
    <w:p w14:paraId="0D5744D9">
      <w:pPr>
        <w:adjustRightInd w:val="0"/>
        <w:snapToGrid w:val="0"/>
        <w:spacing w:line="560" w:lineRule="exact"/>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3.1初步评审</w:t>
      </w:r>
    </w:p>
    <w:p w14:paraId="108CDA1D">
      <w:pPr>
        <w:adjustRightInd w:val="0"/>
        <w:snapToGrid w:val="0"/>
        <w:spacing w:line="560" w:lineRule="exact"/>
        <w:ind w:firstLine="420" w:firstLineChars="200"/>
        <w:rPr>
          <w:rFonts w:ascii="宋体" w:hAnsi="宋体" w:cs="宋体"/>
          <w:color w:val="auto"/>
          <w:szCs w:val="21"/>
          <w:highlight w:val="none"/>
          <w:lang w:val="zh-CN"/>
        </w:rPr>
      </w:pPr>
      <w:r>
        <w:rPr>
          <w:rFonts w:hint="eastAsia" w:ascii="宋体" w:hAnsi="宋体" w:cs="宋体"/>
          <w:color w:val="auto"/>
          <w:szCs w:val="21"/>
          <w:highlight w:val="none"/>
        </w:rPr>
        <w:t xml:space="preserve">3.11 </w:t>
      </w:r>
      <w:r>
        <w:rPr>
          <w:rFonts w:hint="eastAsia" w:ascii="宋体" w:hAnsi="宋体" w:cs="宋体"/>
          <w:color w:val="auto"/>
          <w:szCs w:val="21"/>
          <w:highlight w:val="none"/>
          <w:lang w:val="zh-CN"/>
        </w:rPr>
        <w:t>采购人或代理机构可以要求投标人提交第二章“投标人须知”规定的有关证明。</w:t>
      </w:r>
      <w:r>
        <w:rPr>
          <w:rFonts w:hint="eastAsia" w:ascii="宋体" w:hAnsi="宋体" w:cs="宋体"/>
          <w:b/>
          <w:bCs/>
          <w:color w:val="auto"/>
          <w:szCs w:val="21"/>
          <w:highlight w:val="none"/>
          <w:lang w:val="zh-CN"/>
        </w:rPr>
        <w:t>采购人或代理机构依据本章第2.1款规定的标准对投标文件进行资格评审</w:t>
      </w:r>
      <w:r>
        <w:rPr>
          <w:rFonts w:hint="eastAsia" w:ascii="宋体" w:hAnsi="宋体" w:cs="宋体"/>
          <w:color w:val="auto"/>
          <w:szCs w:val="21"/>
          <w:highlight w:val="none"/>
          <w:lang w:val="zh-CN"/>
        </w:rPr>
        <w:t>。有一项不符合资格评审标准的，作无效投标处理。</w:t>
      </w:r>
    </w:p>
    <w:p w14:paraId="2CE05EF7">
      <w:pPr>
        <w:adjustRightInd w:val="0"/>
        <w:snapToGrid w:val="0"/>
        <w:spacing w:line="560" w:lineRule="exact"/>
        <w:ind w:firstLine="420" w:firstLineChars="200"/>
        <w:rPr>
          <w:rFonts w:ascii="宋体" w:hAnsi="宋体" w:cs="宋体"/>
          <w:color w:val="auto"/>
          <w:szCs w:val="21"/>
          <w:highlight w:val="none"/>
          <w:lang w:val="zh-CN"/>
        </w:rPr>
      </w:pPr>
      <w:r>
        <w:rPr>
          <w:rFonts w:hint="eastAsia" w:ascii="宋体" w:hAnsi="宋体" w:cs="宋体"/>
          <w:color w:val="auto"/>
          <w:szCs w:val="21"/>
          <w:highlight w:val="none"/>
        </w:rPr>
        <w:t xml:space="preserve">3.12 </w:t>
      </w:r>
      <w:r>
        <w:rPr>
          <w:rFonts w:hint="eastAsia" w:ascii="宋体" w:hAnsi="宋体" w:cs="宋体"/>
          <w:color w:val="auto"/>
          <w:szCs w:val="21"/>
          <w:highlight w:val="none"/>
          <w:lang w:val="zh-CN"/>
        </w:rPr>
        <w:t>投标文件属下列情况之一的，应当在资格性、符合性检查时按照无效投标处理：</w:t>
      </w:r>
    </w:p>
    <w:p w14:paraId="38679650">
      <w:pPr>
        <w:autoSpaceDE w:val="0"/>
        <w:autoSpaceDN w:val="0"/>
        <w:adjustRightInd w:val="0"/>
        <w:snapToGrid w:val="0"/>
        <w:spacing w:line="5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（1）未按照招标文件规定要求签署、盖章的；</w:t>
      </w:r>
    </w:p>
    <w:p w14:paraId="7DBF6521">
      <w:pPr>
        <w:autoSpaceDE w:val="0"/>
        <w:autoSpaceDN w:val="0"/>
        <w:adjustRightInd w:val="0"/>
        <w:snapToGrid w:val="0"/>
        <w:spacing w:line="5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（2）不具备招标文件中规定资格要求的；</w:t>
      </w:r>
    </w:p>
    <w:p w14:paraId="5C8A0ED0">
      <w:pPr>
        <w:autoSpaceDE w:val="0"/>
        <w:autoSpaceDN w:val="0"/>
        <w:adjustRightInd w:val="0"/>
        <w:snapToGrid w:val="0"/>
        <w:spacing w:line="5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（3）不符合法律、法规和招标文件中规定的其他实质性要求的。</w:t>
      </w:r>
    </w:p>
    <w:p w14:paraId="359C33CF">
      <w:pPr>
        <w:adjustRightInd w:val="0"/>
        <w:snapToGrid w:val="0"/>
        <w:spacing w:line="560" w:lineRule="exact"/>
        <w:ind w:firstLine="420" w:firstLineChars="200"/>
        <w:rPr>
          <w:rFonts w:ascii="宋体" w:hAnsi="宋体" w:cs="宋体"/>
          <w:color w:val="auto"/>
          <w:szCs w:val="21"/>
          <w:highlight w:val="none"/>
          <w:lang w:val="zh-CN"/>
        </w:rPr>
      </w:pPr>
      <w:r>
        <w:rPr>
          <w:rFonts w:hint="eastAsia" w:ascii="宋体" w:hAnsi="宋体" w:cs="宋体"/>
          <w:color w:val="auto"/>
          <w:szCs w:val="21"/>
          <w:highlight w:val="none"/>
        </w:rPr>
        <w:t xml:space="preserve">3.13 </w:t>
      </w:r>
      <w:r>
        <w:rPr>
          <w:rFonts w:hint="eastAsia" w:ascii="宋体" w:hAnsi="宋体" w:cs="宋体"/>
          <w:color w:val="auto"/>
          <w:szCs w:val="21"/>
          <w:highlight w:val="none"/>
          <w:lang w:val="zh-CN"/>
        </w:rPr>
        <w:t>投标报价有算数错误的，评标委员会按以下原则对投标报价进行修正，修正的价格经投标人书面确认后具有约束力。投标人不接受修正价格的，其投标作无效投标处理。</w:t>
      </w:r>
    </w:p>
    <w:p w14:paraId="77F7B215">
      <w:pPr>
        <w:autoSpaceDE w:val="0"/>
        <w:autoSpaceDN w:val="0"/>
        <w:adjustRightInd w:val="0"/>
        <w:snapToGrid w:val="0"/>
        <w:spacing w:line="5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（1）投标文件中的大写金额与小写金额不一致的，以大写金额为准；</w:t>
      </w:r>
    </w:p>
    <w:p w14:paraId="0FB103EC">
      <w:pPr>
        <w:autoSpaceDE w:val="0"/>
        <w:autoSpaceDN w:val="0"/>
        <w:adjustRightInd w:val="0"/>
        <w:snapToGrid w:val="0"/>
        <w:spacing w:line="5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（2）投标文件中开标一览表内容与投标文件中明细表内容不一致的，以开标一览表为准。</w:t>
      </w:r>
    </w:p>
    <w:p w14:paraId="5DA8601C">
      <w:pPr>
        <w:adjustRightInd w:val="0"/>
        <w:snapToGrid w:val="0"/>
        <w:spacing w:line="560" w:lineRule="exact"/>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3.2 详细评审</w:t>
      </w:r>
    </w:p>
    <w:p w14:paraId="27CD7DFC">
      <w:pPr>
        <w:adjustRightInd w:val="0"/>
        <w:snapToGrid w:val="0"/>
        <w:spacing w:line="560" w:lineRule="exact"/>
        <w:ind w:firstLine="420" w:firstLineChars="200"/>
        <w:rPr>
          <w:rFonts w:ascii="宋体" w:hAnsi="宋体" w:cs="宋体"/>
          <w:color w:val="auto"/>
          <w:szCs w:val="21"/>
          <w:highlight w:val="none"/>
          <w:lang w:val="zh-CN"/>
        </w:rPr>
      </w:pPr>
      <w:r>
        <w:rPr>
          <w:rFonts w:hint="eastAsia" w:ascii="宋体" w:hAnsi="宋体" w:cs="宋体"/>
          <w:color w:val="auto"/>
          <w:szCs w:val="21"/>
          <w:highlight w:val="none"/>
        </w:rPr>
        <w:t xml:space="preserve">3.2.1 </w:t>
      </w:r>
      <w:r>
        <w:rPr>
          <w:rFonts w:hint="eastAsia" w:ascii="宋体" w:hAnsi="宋体" w:cs="宋体"/>
          <w:color w:val="auto"/>
          <w:szCs w:val="21"/>
          <w:highlight w:val="none"/>
          <w:lang w:val="zh-CN"/>
        </w:rPr>
        <w:t>评标委员会按本章第2.2款的评分标准进行打分，并计算出综合评审得分。</w:t>
      </w:r>
    </w:p>
    <w:p w14:paraId="4F3050F7">
      <w:pPr>
        <w:adjustRightInd w:val="0"/>
        <w:snapToGrid w:val="0"/>
        <w:spacing w:line="560" w:lineRule="exact"/>
        <w:ind w:firstLine="420" w:firstLineChars="200"/>
        <w:rPr>
          <w:rFonts w:ascii="宋体" w:hAnsi="宋体" w:cs="宋体"/>
          <w:color w:val="auto"/>
          <w:szCs w:val="21"/>
          <w:highlight w:val="none"/>
          <w:lang w:val="zh-CN"/>
        </w:rPr>
      </w:pPr>
      <w:r>
        <w:rPr>
          <w:rFonts w:hint="eastAsia" w:ascii="宋体" w:hAnsi="宋体" w:cs="宋体"/>
          <w:color w:val="auto"/>
          <w:szCs w:val="21"/>
          <w:highlight w:val="none"/>
        </w:rPr>
        <w:t xml:space="preserve">3.2.2 </w:t>
      </w:r>
      <w:r>
        <w:rPr>
          <w:rFonts w:hint="eastAsia" w:ascii="宋体" w:hAnsi="宋体" w:cs="宋体"/>
          <w:color w:val="auto"/>
          <w:szCs w:val="21"/>
          <w:highlight w:val="none"/>
          <w:lang w:val="zh-CN"/>
        </w:rPr>
        <w:t>评标委员会发现投标人的投标总报价</w:t>
      </w:r>
      <w:r>
        <w:rPr>
          <w:rFonts w:hint="eastAsia" w:ascii="宋体" w:hAnsi="宋体" w:cs="宋体"/>
          <w:color w:val="auto"/>
          <w:szCs w:val="21"/>
          <w:highlight w:val="none"/>
        </w:rPr>
        <w:t>高</w:t>
      </w:r>
      <w:r>
        <w:rPr>
          <w:rFonts w:hint="eastAsia" w:ascii="宋体" w:hAnsi="宋体" w:cs="宋体"/>
          <w:color w:val="auto"/>
          <w:szCs w:val="21"/>
          <w:highlight w:val="none"/>
          <w:lang w:val="zh-CN"/>
        </w:rPr>
        <w:t>于</w:t>
      </w:r>
      <w:r>
        <w:rPr>
          <w:rFonts w:hint="eastAsia" w:ascii="宋体" w:hAnsi="宋体" w:cs="宋体"/>
          <w:color w:val="auto"/>
          <w:szCs w:val="21"/>
          <w:highlight w:val="none"/>
        </w:rPr>
        <w:t>招标文件规定的</w:t>
      </w:r>
      <w:r>
        <w:rPr>
          <w:rFonts w:hint="eastAsia" w:ascii="宋体" w:hAnsi="宋体" w:cs="宋体"/>
          <w:color w:val="auto"/>
          <w:szCs w:val="21"/>
          <w:highlight w:val="none"/>
          <w:lang w:eastAsia="zh-CN"/>
        </w:rPr>
        <w:t>最高限价</w:t>
      </w:r>
      <w:r>
        <w:rPr>
          <w:rFonts w:hint="eastAsia" w:ascii="宋体" w:hAnsi="宋体" w:cs="宋体"/>
          <w:color w:val="auto"/>
          <w:szCs w:val="21"/>
          <w:highlight w:val="none"/>
          <w:lang w:val="zh-CN"/>
        </w:rPr>
        <w:t>，评标委员会应按无效投标处理。</w:t>
      </w:r>
    </w:p>
    <w:p w14:paraId="50464AFE">
      <w:pPr>
        <w:adjustRightInd w:val="0"/>
        <w:snapToGrid w:val="0"/>
        <w:spacing w:line="560" w:lineRule="exact"/>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3.3 投标文件的澄清和补正</w:t>
      </w:r>
    </w:p>
    <w:p w14:paraId="3F664B32">
      <w:pPr>
        <w:adjustRightInd w:val="0"/>
        <w:snapToGrid w:val="0"/>
        <w:spacing w:line="560" w:lineRule="exact"/>
        <w:ind w:firstLine="420" w:firstLineChars="200"/>
        <w:rPr>
          <w:rFonts w:ascii="宋体" w:hAnsi="宋体" w:cs="宋体"/>
          <w:color w:val="auto"/>
          <w:szCs w:val="21"/>
          <w:highlight w:val="none"/>
          <w:lang w:val="zh-CN"/>
        </w:rPr>
      </w:pPr>
      <w:r>
        <w:rPr>
          <w:rFonts w:hint="eastAsia" w:ascii="宋体" w:hAnsi="宋体" w:cs="宋体"/>
          <w:color w:val="auto"/>
          <w:szCs w:val="21"/>
          <w:highlight w:val="none"/>
        </w:rPr>
        <w:t xml:space="preserve">3.3.1 </w:t>
      </w:r>
      <w:r>
        <w:rPr>
          <w:rFonts w:hint="eastAsia" w:ascii="宋体" w:hAnsi="宋体" w:cs="宋体"/>
          <w:color w:val="auto"/>
          <w:szCs w:val="21"/>
          <w:highlight w:val="none"/>
          <w:lang w:val="zh-CN"/>
        </w:rPr>
        <w:t>在评标过程中，评标委员会可以书面形式要求投标人对所提交投标文件中不明确的内容进行书面澄清或说明，或者对细微偏差进行补正。</w:t>
      </w:r>
    </w:p>
    <w:p w14:paraId="585CCF67">
      <w:pPr>
        <w:adjustRightInd w:val="0"/>
        <w:snapToGrid w:val="0"/>
        <w:spacing w:line="560" w:lineRule="exact"/>
        <w:ind w:firstLine="420" w:firstLineChars="200"/>
        <w:rPr>
          <w:rFonts w:ascii="宋体" w:hAnsi="宋体" w:cs="宋体"/>
          <w:color w:val="auto"/>
          <w:szCs w:val="21"/>
          <w:highlight w:val="none"/>
          <w:lang w:val="zh-CN"/>
        </w:rPr>
      </w:pPr>
      <w:r>
        <w:rPr>
          <w:rFonts w:hint="eastAsia" w:ascii="宋体" w:hAnsi="宋体" w:cs="宋体"/>
          <w:color w:val="auto"/>
          <w:szCs w:val="21"/>
          <w:highlight w:val="none"/>
        </w:rPr>
        <w:t xml:space="preserve">3.3.2 </w:t>
      </w:r>
      <w:r>
        <w:rPr>
          <w:rFonts w:hint="eastAsia" w:ascii="宋体" w:hAnsi="宋体" w:cs="宋体"/>
          <w:color w:val="auto"/>
          <w:szCs w:val="21"/>
          <w:highlight w:val="none"/>
          <w:lang w:val="zh-CN"/>
        </w:rPr>
        <w:t>澄清、说明和补正不得改变投标文件的实质性内容（算术性错误修正的除外）。投标人的书面澄清、说明和补正属于投标文件的组成部分。</w:t>
      </w:r>
    </w:p>
    <w:p w14:paraId="51CB4B5B">
      <w:pPr>
        <w:adjustRightInd w:val="0"/>
        <w:snapToGrid w:val="0"/>
        <w:spacing w:line="560" w:lineRule="exact"/>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3.4 评标结果</w:t>
      </w:r>
    </w:p>
    <w:p w14:paraId="2B95F2EE">
      <w:pPr>
        <w:adjustRightInd w:val="0"/>
        <w:snapToGrid w:val="0"/>
        <w:spacing w:line="5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3.4.1 </w:t>
      </w:r>
      <w:r>
        <w:rPr>
          <w:rFonts w:hint="eastAsia" w:ascii="宋体" w:hAnsi="宋体" w:cs="宋体"/>
          <w:color w:val="auto"/>
          <w:szCs w:val="21"/>
          <w:highlight w:val="none"/>
          <w:lang w:val="zh-CN"/>
        </w:rPr>
        <w:t>投标人得分=</w:t>
      </w:r>
      <w:r>
        <w:rPr>
          <w:rFonts w:hint="eastAsia" w:ascii="宋体" w:hAnsi="宋体" w:cs="宋体"/>
          <w:color w:val="auto"/>
          <w:szCs w:val="21"/>
          <w:highlight w:val="none"/>
        </w:rPr>
        <w:t>商务部分得分+技术部分得分</w:t>
      </w:r>
      <w:r>
        <w:rPr>
          <w:rFonts w:hint="eastAsia" w:ascii="宋体" w:hAnsi="宋体" w:cs="宋体"/>
          <w:color w:val="auto"/>
          <w:szCs w:val="21"/>
          <w:highlight w:val="none"/>
          <w:lang w:val="en-US" w:eastAsia="zh-CN"/>
        </w:rPr>
        <w:t>+综合</w:t>
      </w:r>
      <w:r>
        <w:rPr>
          <w:rFonts w:hint="eastAsia" w:ascii="宋体" w:hAnsi="宋体" w:cs="宋体"/>
          <w:color w:val="auto"/>
          <w:szCs w:val="21"/>
          <w:highlight w:val="none"/>
        </w:rPr>
        <w:t>部分得分</w:t>
      </w:r>
    </w:p>
    <w:p w14:paraId="4DD26657">
      <w:pPr>
        <w:adjustRightInd w:val="0"/>
        <w:snapToGrid w:val="0"/>
        <w:spacing w:line="560" w:lineRule="exact"/>
        <w:ind w:firstLine="420" w:firstLineChars="200"/>
        <w:rPr>
          <w:rFonts w:ascii="宋体" w:hAnsi="宋体" w:cs="宋体"/>
          <w:color w:val="auto"/>
          <w:szCs w:val="21"/>
          <w:highlight w:val="none"/>
          <w:lang w:val="zh-CN"/>
        </w:rPr>
      </w:pPr>
      <w:r>
        <w:rPr>
          <w:rFonts w:hint="eastAsia" w:ascii="宋体" w:hAnsi="宋体" w:cs="宋体"/>
          <w:color w:val="auto"/>
          <w:szCs w:val="21"/>
          <w:highlight w:val="none"/>
        </w:rPr>
        <w:t>3.4.2</w:t>
      </w:r>
      <w:r>
        <w:rPr>
          <w:rFonts w:hint="eastAsia" w:ascii="宋体" w:hAnsi="宋体" w:cs="宋体"/>
          <w:color w:val="auto"/>
          <w:szCs w:val="21"/>
          <w:highlight w:val="none"/>
          <w:lang w:val="zh-CN"/>
        </w:rPr>
        <w:t>投标人最终得分为评标委员会完成评审后所有评分的算术平均值，作为该投标人最终得分。</w:t>
      </w:r>
    </w:p>
    <w:p w14:paraId="696827E4">
      <w:pPr>
        <w:adjustRightInd w:val="0"/>
        <w:snapToGrid w:val="0"/>
        <w:spacing w:line="560" w:lineRule="exact"/>
        <w:ind w:firstLine="420" w:firstLineChars="200"/>
        <w:rPr>
          <w:rFonts w:ascii="宋体" w:hAnsi="宋体" w:cs="宋体"/>
          <w:color w:val="auto"/>
          <w:szCs w:val="21"/>
          <w:highlight w:val="none"/>
          <w:lang w:val="zh-CN"/>
        </w:rPr>
      </w:pPr>
      <w:r>
        <w:rPr>
          <w:rFonts w:hint="eastAsia" w:ascii="宋体" w:hAnsi="宋体" w:cs="宋体"/>
          <w:color w:val="auto"/>
          <w:szCs w:val="21"/>
          <w:highlight w:val="none"/>
        </w:rPr>
        <w:t xml:space="preserve">3.4.3 </w:t>
      </w:r>
      <w:r>
        <w:rPr>
          <w:rFonts w:hint="eastAsia" w:ascii="宋体" w:hAnsi="宋体" w:cs="宋体"/>
          <w:b/>
          <w:bCs/>
          <w:color w:val="auto"/>
          <w:szCs w:val="21"/>
          <w:highlight w:val="none"/>
        </w:rPr>
        <w:t>评标委员会将按照评标最后得分由高到低的顺序对所有投标文件实质上响应采购文件要求的供应商进行排序；得分相同的，按投标报价由低到高顺序排列；得分和投标报价均相同的，按技术指标优劣（技术及服务部分得分由高到低）顺序排列。</w:t>
      </w:r>
    </w:p>
    <w:p w14:paraId="4F1F54C5">
      <w:pPr>
        <w:adjustRightInd w:val="0"/>
        <w:snapToGrid w:val="0"/>
        <w:spacing w:line="560" w:lineRule="exact"/>
        <w:ind w:firstLine="420" w:firstLineChars="200"/>
        <w:rPr>
          <w:rFonts w:ascii="宋体" w:hAnsi="宋体" w:cs="宋体"/>
          <w:color w:val="auto"/>
          <w:szCs w:val="21"/>
          <w:highlight w:val="none"/>
          <w:lang w:val="zh-CN"/>
        </w:rPr>
      </w:pPr>
      <w:r>
        <w:rPr>
          <w:rFonts w:hint="eastAsia" w:ascii="宋体" w:hAnsi="宋体" w:cs="宋体"/>
          <w:color w:val="auto"/>
          <w:szCs w:val="21"/>
          <w:highlight w:val="none"/>
        </w:rPr>
        <w:t xml:space="preserve">3.4.4 </w:t>
      </w:r>
      <w:r>
        <w:rPr>
          <w:rFonts w:hint="eastAsia" w:ascii="宋体" w:hAnsi="宋体" w:cs="宋体"/>
          <w:color w:val="auto"/>
          <w:szCs w:val="21"/>
          <w:highlight w:val="none"/>
          <w:lang w:val="zh-CN"/>
        </w:rPr>
        <w:t>计分过程中按四舍五入的法则，最终结果取至小数点后两位。</w:t>
      </w:r>
    </w:p>
    <w:p w14:paraId="156AB4E4">
      <w:pPr>
        <w:adjustRightInd w:val="0"/>
        <w:snapToGrid w:val="0"/>
        <w:spacing w:line="560" w:lineRule="exact"/>
        <w:ind w:firstLine="420" w:firstLineChars="200"/>
        <w:rPr>
          <w:rFonts w:ascii="宋体" w:hAnsi="宋体" w:cs="宋体"/>
          <w:color w:val="auto"/>
          <w:szCs w:val="21"/>
          <w:highlight w:val="none"/>
          <w:lang w:val="zh-CN"/>
        </w:rPr>
      </w:pPr>
      <w:r>
        <w:rPr>
          <w:rFonts w:hint="eastAsia" w:ascii="宋体" w:hAnsi="宋体" w:cs="宋体"/>
          <w:color w:val="auto"/>
          <w:szCs w:val="21"/>
          <w:highlight w:val="none"/>
        </w:rPr>
        <w:t xml:space="preserve">3.4.5 </w:t>
      </w:r>
      <w:r>
        <w:rPr>
          <w:rFonts w:hint="eastAsia" w:ascii="宋体" w:hAnsi="宋体" w:cs="宋体"/>
          <w:color w:val="auto"/>
          <w:szCs w:val="21"/>
          <w:highlight w:val="none"/>
          <w:lang w:val="zh-CN"/>
        </w:rPr>
        <w:t>评标委员会按照得分由高到低的顺序推荐</w:t>
      </w:r>
      <w:r>
        <w:rPr>
          <w:rFonts w:hint="eastAsia" w:ascii="宋体" w:hAnsi="宋体" w:cs="宋体"/>
          <w:color w:val="auto"/>
          <w:szCs w:val="21"/>
          <w:highlight w:val="none"/>
        </w:rPr>
        <w:t>3名</w:t>
      </w:r>
      <w:r>
        <w:rPr>
          <w:rFonts w:hint="eastAsia" w:ascii="宋体" w:hAnsi="宋体" w:cs="宋体"/>
          <w:color w:val="auto"/>
          <w:szCs w:val="21"/>
          <w:highlight w:val="none"/>
          <w:lang w:val="zh-CN"/>
        </w:rPr>
        <w:t>中标候选人。</w:t>
      </w:r>
    </w:p>
    <w:p w14:paraId="1808F0E1">
      <w:pPr>
        <w:adjustRightInd w:val="0"/>
        <w:snapToGrid w:val="0"/>
        <w:spacing w:line="560" w:lineRule="exact"/>
        <w:ind w:firstLine="420" w:firstLineChars="200"/>
        <w:rPr>
          <w:rFonts w:ascii="宋体" w:hAnsi="宋体" w:cs="宋体"/>
          <w:color w:val="auto"/>
          <w:szCs w:val="21"/>
          <w:highlight w:val="none"/>
          <w:lang w:val="zh-CN"/>
        </w:rPr>
      </w:pPr>
      <w:r>
        <w:rPr>
          <w:rFonts w:hint="eastAsia" w:ascii="宋体" w:hAnsi="宋体" w:cs="宋体"/>
          <w:color w:val="auto"/>
          <w:szCs w:val="21"/>
          <w:highlight w:val="none"/>
        </w:rPr>
        <w:t xml:space="preserve">3.4.6 </w:t>
      </w:r>
      <w:r>
        <w:rPr>
          <w:rFonts w:hint="eastAsia" w:ascii="宋体" w:hAnsi="宋体" w:cs="宋体"/>
          <w:color w:val="auto"/>
          <w:szCs w:val="21"/>
          <w:highlight w:val="none"/>
          <w:lang w:val="zh-CN"/>
        </w:rPr>
        <w:t>评标委员会完成评标后，应当向采购人提交书面评标报告。</w:t>
      </w:r>
    </w:p>
    <w:p w14:paraId="40AC2007">
      <w:pPr>
        <w:adjustRightInd w:val="0"/>
        <w:snapToGrid w:val="0"/>
        <w:spacing w:line="560" w:lineRule="exact"/>
        <w:ind w:firstLine="422" w:firstLineChars="200"/>
        <w:rPr>
          <w:rFonts w:ascii="宋体" w:hAnsi="宋体" w:cs="宋体"/>
          <w:b/>
          <w:bCs/>
          <w:color w:val="auto"/>
          <w:szCs w:val="21"/>
          <w:highlight w:val="none"/>
          <w:lang w:val="zh-CN"/>
        </w:rPr>
      </w:pPr>
      <w:r>
        <w:rPr>
          <w:rFonts w:hint="eastAsia" w:ascii="宋体" w:hAnsi="宋体" w:cs="宋体"/>
          <w:b/>
          <w:bCs/>
          <w:color w:val="auto"/>
          <w:szCs w:val="21"/>
          <w:highlight w:val="none"/>
        </w:rPr>
        <w:t xml:space="preserve">3.5 </w:t>
      </w:r>
      <w:r>
        <w:rPr>
          <w:rFonts w:hint="eastAsia" w:ascii="宋体" w:hAnsi="宋体" w:cs="宋体"/>
          <w:b/>
          <w:bCs/>
          <w:color w:val="auto"/>
          <w:szCs w:val="21"/>
          <w:highlight w:val="none"/>
          <w:lang w:val="zh-CN"/>
        </w:rPr>
        <w:t>顺延中标人或重新招标</w:t>
      </w:r>
    </w:p>
    <w:p w14:paraId="1553C3A0">
      <w:pPr>
        <w:adjustRightInd w:val="0"/>
        <w:snapToGrid w:val="0"/>
        <w:spacing w:line="560" w:lineRule="exact"/>
        <w:ind w:firstLine="420" w:firstLineChars="200"/>
        <w:rPr>
          <w:rFonts w:ascii="宋体" w:hAnsi="宋体" w:cs="宋体"/>
          <w:color w:val="auto"/>
          <w:szCs w:val="21"/>
          <w:highlight w:val="none"/>
          <w:lang w:val="zh-CN"/>
        </w:rPr>
      </w:pPr>
      <w:r>
        <w:rPr>
          <w:rFonts w:hint="eastAsia" w:ascii="宋体" w:hAnsi="宋体" w:cs="宋体"/>
          <w:color w:val="auto"/>
          <w:szCs w:val="21"/>
          <w:highlight w:val="none"/>
          <w:lang w:val="zh-CN"/>
        </w:rPr>
        <w:t>中标人因不可抗力不能履行政府采购合同的，采购人可以与排位在中标人之后第一位的中标候选人签订政府采购合同，或者重新采购。</w:t>
      </w:r>
    </w:p>
    <w:p w14:paraId="67726ABA">
      <w:pPr>
        <w:adjustRightInd w:val="0"/>
        <w:snapToGrid w:val="0"/>
        <w:spacing w:line="560" w:lineRule="exact"/>
        <w:ind w:firstLine="422" w:firstLineChars="200"/>
        <w:rPr>
          <w:rFonts w:ascii="宋体" w:hAnsi="宋体" w:cs="宋体"/>
          <w:b/>
          <w:bCs/>
          <w:color w:val="auto"/>
          <w:szCs w:val="21"/>
          <w:highlight w:val="none"/>
        </w:rPr>
      </w:pPr>
      <w:bookmarkStart w:id="273" w:name="_Toc54"/>
      <w:bookmarkStart w:id="274" w:name="_Toc19590"/>
      <w:bookmarkStart w:id="275" w:name="_Toc11630"/>
      <w:bookmarkStart w:id="276" w:name="_Toc17922"/>
      <w:bookmarkStart w:id="277" w:name="_Toc7468"/>
      <w:bookmarkStart w:id="278" w:name="_Toc16293"/>
      <w:bookmarkStart w:id="279" w:name="_Toc28863"/>
      <w:r>
        <w:rPr>
          <w:rFonts w:hint="eastAsia" w:ascii="宋体" w:hAnsi="宋体" w:cs="宋体"/>
          <w:b/>
          <w:bCs/>
          <w:color w:val="auto"/>
          <w:szCs w:val="21"/>
          <w:highlight w:val="none"/>
        </w:rPr>
        <w:t>3.6 保密及其他注意事项</w:t>
      </w:r>
      <w:bookmarkEnd w:id="273"/>
      <w:bookmarkEnd w:id="274"/>
      <w:bookmarkEnd w:id="275"/>
      <w:bookmarkEnd w:id="276"/>
      <w:bookmarkEnd w:id="277"/>
      <w:bookmarkEnd w:id="278"/>
      <w:bookmarkEnd w:id="279"/>
    </w:p>
    <w:p w14:paraId="77289F51">
      <w:pPr>
        <w:adjustRightInd w:val="0"/>
        <w:snapToGrid w:val="0"/>
        <w:spacing w:line="560" w:lineRule="exact"/>
        <w:ind w:firstLine="420" w:firstLineChars="200"/>
        <w:rPr>
          <w:rFonts w:ascii="宋体" w:hAnsi="宋体" w:cs="宋体"/>
          <w:color w:val="auto"/>
          <w:szCs w:val="21"/>
          <w:highlight w:val="none"/>
          <w:lang w:val="zh-CN"/>
        </w:rPr>
      </w:pPr>
      <w:r>
        <w:rPr>
          <w:rFonts w:hint="eastAsia" w:ascii="宋体" w:hAnsi="宋体" w:cs="宋体"/>
          <w:color w:val="auto"/>
          <w:szCs w:val="21"/>
          <w:highlight w:val="none"/>
        </w:rPr>
        <w:t xml:space="preserve">3.6.1 </w:t>
      </w:r>
      <w:r>
        <w:rPr>
          <w:rFonts w:hint="eastAsia" w:ascii="宋体" w:hAnsi="宋体" w:cs="宋体"/>
          <w:color w:val="auto"/>
          <w:szCs w:val="21"/>
          <w:highlight w:val="none"/>
          <w:lang w:val="zh-CN"/>
        </w:rPr>
        <w:t>在评标期间，投标企业不得向评标委员会成员询问评标情况，不得进行旨在影响中标结果的活动。</w:t>
      </w:r>
    </w:p>
    <w:p w14:paraId="225928C3">
      <w:pPr>
        <w:adjustRightInd w:val="0"/>
        <w:snapToGrid w:val="0"/>
        <w:spacing w:line="560" w:lineRule="exact"/>
        <w:ind w:firstLine="420" w:firstLineChars="200"/>
        <w:rPr>
          <w:rFonts w:ascii="宋体" w:hAnsi="宋体" w:cs="宋体"/>
          <w:color w:val="auto"/>
          <w:szCs w:val="21"/>
          <w:highlight w:val="none"/>
          <w:lang w:val="zh-CN"/>
        </w:rPr>
      </w:pPr>
      <w:r>
        <w:rPr>
          <w:rFonts w:hint="eastAsia" w:ascii="宋体" w:hAnsi="宋体" w:cs="宋体"/>
          <w:color w:val="auto"/>
          <w:szCs w:val="21"/>
          <w:highlight w:val="none"/>
        </w:rPr>
        <w:t xml:space="preserve">3.6.2 </w:t>
      </w:r>
      <w:r>
        <w:rPr>
          <w:rFonts w:hint="eastAsia" w:ascii="宋体" w:hAnsi="宋体" w:cs="宋体"/>
          <w:color w:val="auto"/>
          <w:szCs w:val="21"/>
          <w:highlight w:val="none"/>
          <w:lang w:val="zh-CN"/>
        </w:rPr>
        <w:t>在评标结束后，凡与评标情况有接触的任何人不得也不应将评标情况扩散出评标委员会成员之外。</w:t>
      </w:r>
    </w:p>
    <w:p w14:paraId="164E5D2F">
      <w:pPr>
        <w:adjustRightInd w:val="0"/>
        <w:snapToGrid w:val="0"/>
        <w:spacing w:line="5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3.6.3</w:t>
      </w:r>
      <w:r>
        <w:rPr>
          <w:rFonts w:hint="eastAsia" w:ascii="宋体" w:hAnsi="宋体" w:cs="宋体"/>
          <w:color w:val="auto"/>
          <w:szCs w:val="21"/>
          <w:highlight w:val="none"/>
          <w:lang w:val="zh-CN"/>
        </w:rPr>
        <w:t>招标代理机构不向落标方解释落标原因，不退还投标文件。</w:t>
      </w:r>
    </w:p>
    <w:p w14:paraId="28BA3B2C">
      <w:pPr>
        <w:tabs>
          <w:tab w:val="left" w:pos="720"/>
        </w:tabs>
        <w:spacing w:line="440" w:lineRule="exact"/>
        <w:ind w:firstLine="420" w:firstLineChars="200"/>
        <w:rPr>
          <w:rFonts w:ascii="宋体" w:hAnsi="宋体" w:cs="宋体"/>
          <w:color w:val="auto"/>
          <w:szCs w:val="28"/>
          <w:highlight w:val="none"/>
        </w:rPr>
      </w:pPr>
      <w:r>
        <w:rPr>
          <w:rFonts w:hint="eastAsia" w:ascii="宋体" w:hAnsi="宋体" w:cs="宋体"/>
          <w:bCs/>
          <w:color w:val="auto"/>
          <w:kern w:val="0"/>
          <w:szCs w:val="21"/>
          <w:highlight w:val="none"/>
        </w:rPr>
        <w:br w:type="page"/>
      </w:r>
    </w:p>
    <w:p w14:paraId="7F112896">
      <w:pPr>
        <w:pStyle w:val="24"/>
        <w:spacing w:line="600" w:lineRule="exact"/>
        <w:ind w:right="-63" w:rightChars="-30"/>
        <w:rPr>
          <w:rFonts w:ascii="宋体" w:hAnsi="宋体" w:eastAsia="宋体" w:cs="宋体"/>
          <w:color w:val="auto"/>
          <w:sz w:val="28"/>
          <w:szCs w:val="28"/>
          <w:highlight w:val="none"/>
        </w:rPr>
      </w:pPr>
      <w:bookmarkStart w:id="280" w:name="_Toc1909"/>
      <w:r>
        <w:rPr>
          <w:rFonts w:hint="eastAsia" w:ascii="宋体" w:hAnsi="宋体" w:eastAsia="宋体" w:cs="宋体"/>
          <w:color w:val="auto"/>
          <w:sz w:val="28"/>
          <w:szCs w:val="28"/>
          <w:highlight w:val="none"/>
        </w:rPr>
        <w:t>第四章 合同条款及格式</w:t>
      </w:r>
      <w:bookmarkEnd w:id="254"/>
      <w:bookmarkEnd w:id="255"/>
      <w:bookmarkEnd w:id="256"/>
      <w:bookmarkEnd w:id="280"/>
    </w:p>
    <w:p w14:paraId="1D53A4BB">
      <w:pPr>
        <w:jc w:val="center"/>
        <w:rPr>
          <w:rFonts w:ascii="宋体" w:hAnsi="宋体" w:cs="宋体"/>
          <w:color w:val="auto"/>
          <w:sz w:val="28"/>
          <w:szCs w:val="28"/>
          <w:highlight w:val="none"/>
        </w:rPr>
      </w:pPr>
      <w:r>
        <w:rPr>
          <w:rFonts w:hint="eastAsia" w:ascii="宋体" w:hAnsi="宋体" w:cs="宋体"/>
          <w:b/>
          <w:color w:val="auto"/>
          <w:sz w:val="28"/>
          <w:szCs w:val="28"/>
          <w:highlight w:val="none"/>
        </w:rPr>
        <w:t>（仅供参考）</w:t>
      </w:r>
    </w:p>
    <w:p w14:paraId="24CE0F82">
      <w:pPr>
        <w:spacing w:line="520" w:lineRule="exact"/>
        <w:rPr>
          <w:rFonts w:ascii="宋体" w:hAnsi="宋体" w:cs="宋体"/>
          <w:color w:val="auto"/>
          <w:szCs w:val="21"/>
          <w:highlight w:val="none"/>
        </w:rPr>
      </w:pPr>
      <w:bookmarkStart w:id="281" w:name="_Toc12807"/>
      <w:r>
        <w:rPr>
          <w:rFonts w:hint="eastAsia" w:ascii="宋体" w:hAnsi="宋体" w:cs="宋体"/>
          <w:color w:val="auto"/>
          <w:szCs w:val="21"/>
          <w:highlight w:val="none"/>
        </w:rPr>
        <w:t>甲方：博爱县教育体育局</w:t>
      </w:r>
    </w:p>
    <w:p w14:paraId="5A58A8DA">
      <w:pPr>
        <w:spacing w:line="520" w:lineRule="exact"/>
        <w:rPr>
          <w:rFonts w:ascii="宋体" w:hAnsi="宋体" w:cs="宋体"/>
          <w:color w:val="auto"/>
          <w:szCs w:val="21"/>
          <w:highlight w:val="none"/>
        </w:rPr>
      </w:pPr>
      <w:r>
        <w:rPr>
          <w:rFonts w:hint="eastAsia" w:ascii="宋体" w:hAnsi="宋体" w:cs="宋体"/>
          <w:color w:val="auto"/>
          <w:szCs w:val="21"/>
          <w:highlight w:val="none"/>
        </w:rPr>
        <w:t xml:space="preserve">乙方： </w:t>
      </w:r>
      <w:r>
        <w:rPr>
          <w:rFonts w:hint="eastAsia" w:ascii="宋体" w:hAnsi="宋体" w:cs="宋体"/>
          <w:color w:val="auto"/>
          <w:szCs w:val="21"/>
          <w:highlight w:val="none"/>
          <w:u w:val="single"/>
        </w:rPr>
        <w:t xml:space="preserve">               </w:t>
      </w:r>
    </w:p>
    <w:p w14:paraId="22991342">
      <w:pPr>
        <w:spacing w:line="5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甲、乙双方持</w:t>
      </w:r>
      <w:r>
        <w:rPr>
          <w:rFonts w:hint="eastAsia" w:ascii="宋体" w:hAnsi="宋体" w:cs="宋体"/>
          <w:color w:val="auto"/>
          <w:szCs w:val="21"/>
          <w:highlight w:val="none"/>
          <w:u w:val="single"/>
        </w:rPr>
        <w:t>智博国际工程咨询有限公司</w:t>
      </w:r>
      <w:r>
        <w:rPr>
          <w:rFonts w:hint="eastAsia" w:ascii="宋体" w:hAnsi="宋体" w:cs="宋体"/>
          <w:color w:val="auto"/>
          <w:szCs w:val="21"/>
          <w:highlight w:val="none"/>
          <w:lang w:eastAsia="zh-CN"/>
        </w:rPr>
        <w:t>2024年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日签发的</w:t>
      </w:r>
      <w:r>
        <w:rPr>
          <w:rFonts w:hint="eastAsia" w:ascii="宋体" w:hAnsi="宋体" w:cs="宋体"/>
          <w:color w:val="auto"/>
          <w:szCs w:val="21"/>
          <w:highlight w:val="none"/>
          <w:lang w:eastAsia="zh-CN"/>
        </w:rPr>
        <w:t>博爱县教育体育局焦作新材料职业学院图书、教学设备、实验设备等采购项目</w:t>
      </w:r>
      <w:r>
        <w:rPr>
          <w:rFonts w:hint="eastAsia" w:ascii="宋体" w:hAnsi="宋体" w:cs="宋体"/>
          <w:color w:val="auto"/>
          <w:szCs w:val="21"/>
          <w:highlight w:val="none"/>
        </w:rPr>
        <w:t>中标通知书，根据招标文件、投标文件的内容，并经双方协商一致，达成以下合同条款：</w:t>
      </w:r>
    </w:p>
    <w:p w14:paraId="70507CC0">
      <w:pPr>
        <w:pStyle w:val="11"/>
        <w:spacing w:line="520" w:lineRule="exact"/>
        <w:ind w:firstLine="420"/>
        <w:rPr>
          <w:rFonts w:hint="eastAsia" w:ascii="宋体" w:hAnsi="宋体" w:cs="宋体"/>
          <w:color w:val="auto"/>
          <w:szCs w:val="21"/>
          <w:highlight w:val="none"/>
        </w:rPr>
      </w:pPr>
      <w:r>
        <w:rPr>
          <w:rFonts w:hint="eastAsia" w:ascii="宋体" w:hAnsi="宋体" w:cs="宋体"/>
          <w:color w:val="auto"/>
          <w:szCs w:val="21"/>
          <w:highlight w:val="none"/>
        </w:rPr>
        <w:t>一、</w:t>
      </w:r>
      <w:r>
        <w:rPr>
          <w:rFonts w:hint="eastAsia" w:ascii="宋体" w:hAnsi="宋体" w:cs="宋体"/>
          <w:color w:val="auto"/>
          <w:szCs w:val="21"/>
          <w:highlight w:val="none"/>
        </w:rPr>
        <w:t>本合同项目</w:t>
      </w:r>
      <w:r>
        <w:rPr>
          <w:rFonts w:hint="eastAsia" w:ascii="宋体" w:hAnsi="宋体" w:cs="宋体"/>
          <w:color w:val="auto"/>
          <w:szCs w:val="21"/>
          <w:highlight w:val="none"/>
          <w:lang w:val="en-US" w:eastAsia="zh-CN"/>
        </w:rPr>
        <w:t>为</w:t>
      </w:r>
      <w:r>
        <w:rPr>
          <w:rFonts w:hint="eastAsia" w:ascii="宋体" w:hAnsi="宋体" w:eastAsia="宋体" w:cs="宋体"/>
          <w:color w:val="auto"/>
          <w:szCs w:val="21"/>
          <w:highlight w:val="none"/>
          <w:lang w:val="en-US" w:eastAsia="zh-CN"/>
        </w:rPr>
        <w:t>采购</w:t>
      </w:r>
      <w:r>
        <w:rPr>
          <w:rFonts w:hint="eastAsia" w:ascii="宋体" w:hAnsi="宋体" w:cs="宋体"/>
          <w:color w:val="auto"/>
          <w:szCs w:val="21"/>
          <w:highlight w:val="none"/>
          <w:lang w:val="en-US" w:eastAsia="zh-CN"/>
        </w:rPr>
        <w:t>化工类实训室设备</w:t>
      </w:r>
      <w:r>
        <w:rPr>
          <w:rFonts w:hint="eastAsia" w:ascii="宋体" w:hAnsi="宋体" w:eastAsia="宋体" w:cs="宋体"/>
          <w:color w:val="auto"/>
          <w:szCs w:val="21"/>
          <w:highlight w:val="none"/>
        </w:rPr>
        <w:t>等</w:t>
      </w:r>
      <w:r>
        <w:rPr>
          <w:rFonts w:hint="eastAsia" w:ascii="宋体" w:hAnsi="宋体" w:cs="宋体"/>
          <w:color w:val="auto"/>
          <w:szCs w:val="21"/>
          <w:highlight w:val="none"/>
        </w:rPr>
        <w:t>，合同总价款为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元（大写）</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（产品清单详见附表）</w:t>
      </w:r>
    </w:p>
    <w:p w14:paraId="51F83166">
      <w:pPr>
        <w:pStyle w:val="11"/>
        <w:spacing w:line="520" w:lineRule="exact"/>
        <w:ind w:firstLine="420"/>
        <w:rPr>
          <w:rFonts w:ascii="宋体" w:hAnsi="宋体" w:cs="宋体"/>
          <w:color w:val="auto"/>
          <w:szCs w:val="21"/>
          <w:highlight w:val="none"/>
        </w:rPr>
      </w:pPr>
      <w:r>
        <w:rPr>
          <w:rFonts w:hint="eastAsia" w:ascii="宋体" w:hAnsi="宋体" w:cs="宋体"/>
          <w:color w:val="auto"/>
          <w:szCs w:val="21"/>
          <w:highlight w:val="none"/>
        </w:rPr>
        <w:t>二、货物质量要求：</w:t>
      </w:r>
    </w:p>
    <w:p w14:paraId="2ED3C674">
      <w:pPr>
        <w:spacing w:line="5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乙方提供的货物是全新的货物，符合国家有关标准，达到</w:t>
      </w:r>
      <w:r>
        <w:rPr>
          <w:rFonts w:hint="eastAsia" w:ascii="宋体" w:hAnsi="宋体" w:cs="宋体"/>
          <w:color w:val="auto"/>
          <w:szCs w:val="21"/>
          <w:highlight w:val="none"/>
          <w:lang w:val="en-US" w:eastAsia="zh-CN"/>
        </w:rPr>
        <w:t>本项目</w:t>
      </w:r>
      <w:r>
        <w:rPr>
          <w:rFonts w:hint="eastAsia" w:ascii="宋体" w:hAnsi="宋体" w:cs="宋体"/>
          <w:color w:val="auto"/>
          <w:szCs w:val="21"/>
          <w:highlight w:val="none"/>
        </w:rPr>
        <w:t>招标文件中的技术标准</w:t>
      </w:r>
      <w:r>
        <w:rPr>
          <w:rFonts w:hint="eastAsia" w:ascii="宋体" w:hAnsi="宋体" w:cs="宋体"/>
          <w:color w:val="auto"/>
          <w:szCs w:val="21"/>
          <w:highlight w:val="none"/>
          <w:lang w:val="en-US" w:eastAsia="zh-CN"/>
        </w:rPr>
        <w:t>及要求</w:t>
      </w:r>
      <w:r>
        <w:rPr>
          <w:rFonts w:hint="eastAsia" w:ascii="宋体" w:hAnsi="宋体" w:cs="宋体"/>
          <w:color w:val="auto"/>
          <w:szCs w:val="21"/>
          <w:highlight w:val="none"/>
        </w:rPr>
        <w:t>，且与投标文件保持一致。</w:t>
      </w:r>
    </w:p>
    <w:p w14:paraId="0D52B8A8">
      <w:pPr>
        <w:pStyle w:val="11"/>
        <w:spacing w:line="520" w:lineRule="exact"/>
        <w:ind w:firstLine="420"/>
        <w:rPr>
          <w:rFonts w:ascii="宋体" w:hAnsi="宋体" w:cs="宋体"/>
          <w:color w:val="auto"/>
          <w:szCs w:val="21"/>
          <w:highlight w:val="none"/>
        </w:rPr>
      </w:pPr>
      <w:r>
        <w:rPr>
          <w:rFonts w:hint="eastAsia" w:ascii="宋体" w:hAnsi="宋体" w:cs="宋体"/>
          <w:color w:val="auto"/>
          <w:szCs w:val="21"/>
          <w:highlight w:val="none"/>
        </w:rPr>
        <w:t>三、交货时间、地点、方式：</w:t>
      </w:r>
    </w:p>
    <w:p w14:paraId="105D2072">
      <w:pPr>
        <w:spacing w:line="5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合同生效后，乙方应于合同签订</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天内按甲方要求在指定地点将货物交货完毕，并具备验收使用条件。货物运送、装卸、安装和验收等产生的费用由乙方负责。</w:t>
      </w:r>
    </w:p>
    <w:p w14:paraId="37C0AA4B">
      <w:pPr>
        <w:spacing w:line="5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四、乙方在交付货物时应向甲方提供所供货物的相关的资料。</w:t>
      </w:r>
    </w:p>
    <w:p w14:paraId="3567475F">
      <w:pPr>
        <w:spacing w:line="5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五、验收：所供货物结束由乙方提供其供应货物满足招标文件所规定技术参数相关证明文件，和具体使用学校提供的能正常使用相关证明后，由甲方组织相关人员进行验收、出具检测验收报告。</w:t>
      </w:r>
    </w:p>
    <w:p w14:paraId="64FEC58C">
      <w:pPr>
        <w:pStyle w:val="47"/>
        <w:keepNext w:val="0"/>
        <w:keepLines w:val="0"/>
        <w:pageBreakBefore w:val="0"/>
        <w:kinsoku/>
        <w:wordWrap/>
        <w:overflowPunct/>
        <w:topLinePunct w:val="0"/>
        <w:autoSpaceDE/>
        <w:autoSpaceDN/>
        <w:bidi w:val="0"/>
        <w:adjustRightInd/>
        <w:snapToGrid/>
        <w:spacing w:line="600" w:lineRule="exact"/>
        <w:ind w:left="0" w:firstLine="624"/>
        <w:textAlignment w:val="auto"/>
        <w:rPr>
          <w:rFonts w:hint="eastAsia" w:ascii="宋体" w:hAnsi="宋体" w:eastAsia="宋体" w:cs="宋体"/>
          <w:color w:val="auto"/>
          <w:szCs w:val="21"/>
          <w:highlight w:val="none"/>
          <w:u w:val="single"/>
          <w:lang w:val="en-US" w:eastAsia="zh-CN"/>
        </w:rPr>
      </w:pPr>
      <w:r>
        <w:rPr>
          <w:rFonts w:hint="eastAsia" w:ascii="宋体" w:hAnsi="宋体" w:cs="宋体"/>
          <w:color w:val="auto"/>
          <w:szCs w:val="21"/>
          <w:highlight w:val="none"/>
        </w:rPr>
        <w:t>六、</w:t>
      </w:r>
      <w:r>
        <w:rPr>
          <w:rFonts w:hint="eastAsia" w:ascii="宋体" w:hAnsi="宋体" w:cs="宋体"/>
          <w:color w:val="auto"/>
          <w:szCs w:val="21"/>
          <w:highlight w:val="none"/>
        </w:rPr>
        <w:t>付款方式：</w:t>
      </w:r>
      <w:r>
        <w:rPr>
          <w:rFonts w:hint="default" w:ascii="宋体" w:hAnsi="宋体" w:eastAsia="宋体" w:cs="宋体"/>
          <w:color w:val="auto"/>
          <w:szCs w:val="21"/>
          <w:highlight w:val="none"/>
          <w:u w:val="single"/>
          <w:lang w:val="en-US" w:eastAsia="zh-CN"/>
        </w:rPr>
        <w:t>合同签订后，本项目分二批次供货，</w:t>
      </w:r>
      <w:r>
        <w:rPr>
          <w:rFonts w:hint="eastAsia" w:ascii="宋体" w:hAnsi="宋体" w:eastAsia="宋体" w:cs="宋体"/>
          <w:color w:val="auto"/>
          <w:szCs w:val="21"/>
          <w:highlight w:val="none"/>
          <w:u w:val="single"/>
          <w:lang w:val="en-US" w:eastAsia="zh-CN"/>
        </w:rPr>
        <w:t>全部</w:t>
      </w:r>
      <w:r>
        <w:rPr>
          <w:rFonts w:hint="default" w:ascii="宋体" w:hAnsi="宋体" w:eastAsia="宋体" w:cs="宋体"/>
          <w:color w:val="auto"/>
          <w:szCs w:val="21"/>
          <w:highlight w:val="none"/>
          <w:u w:val="single"/>
          <w:lang w:val="en-US" w:eastAsia="zh-CN"/>
        </w:rPr>
        <w:t>供货安装</w:t>
      </w:r>
      <w:r>
        <w:rPr>
          <w:rFonts w:hint="eastAsia" w:ascii="宋体" w:hAnsi="宋体" w:eastAsia="宋体" w:cs="宋体"/>
          <w:color w:val="auto"/>
          <w:szCs w:val="21"/>
          <w:highlight w:val="none"/>
          <w:u w:val="single"/>
          <w:lang w:val="en-US" w:eastAsia="zh-CN"/>
        </w:rPr>
        <w:t>结束，该项目经过国家认可的第三方质量检测机构验收和检测合格后，</w:t>
      </w:r>
      <w:r>
        <w:rPr>
          <w:rFonts w:hint="default" w:ascii="宋体" w:hAnsi="宋体" w:eastAsia="宋体" w:cs="宋体"/>
          <w:color w:val="auto"/>
          <w:szCs w:val="21"/>
          <w:highlight w:val="none"/>
          <w:u w:val="single"/>
          <w:lang w:val="en-US" w:eastAsia="zh-CN"/>
        </w:rPr>
        <w:t>据实支付</w:t>
      </w:r>
      <w:r>
        <w:rPr>
          <w:rFonts w:hint="eastAsia" w:ascii="宋体" w:hAnsi="宋体" w:eastAsia="宋体" w:cs="宋体"/>
          <w:color w:val="auto"/>
          <w:szCs w:val="21"/>
          <w:highlight w:val="none"/>
          <w:u w:val="single"/>
          <w:lang w:val="en-US" w:eastAsia="zh-CN"/>
        </w:rPr>
        <w:t>合同总额的100％</w:t>
      </w:r>
      <w:r>
        <w:rPr>
          <w:rFonts w:hint="default" w:ascii="宋体" w:hAnsi="宋体" w:eastAsia="宋体" w:cs="宋体"/>
          <w:color w:val="auto"/>
          <w:szCs w:val="21"/>
          <w:highlight w:val="none"/>
          <w:u w:val="single"/>
          <w:lang w:val="en-US" w:eastAsia="zh-CN"/>
        </w:rPr>
        <w:t>。</w:t>
      </w:r>
    </w:p>
    <w:p w14:paraId="17E4F259">
      <w:pPr>
        <w:spacing w:line="5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七、违约责任：</w:t>
      </w:r>
    </w:p>
    <w:p w14:paraId="5578B051">
      <w:pPr>
        <w:spacing w:line="5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甲方无正当理由拒收货物、拒付货款的，向乙方偿付拒收拒付部分货物款总额0.1℅的违约金。</w:t>
      </w:r>
    </w:p>
    <w:p w14:paraId="3F968A71">
      <w:pPr>
        <w:spacing w:line="5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乙方所交货物的规格型号、技术要求、质量品质等不符合合同规定，甲方有权拒收货物，乙方应负责更换并承担因更换而支付的全部实际费用。因更换而逾期交货，则按逾期交货处理。</w:t>
      </w:r>
    </w:p>
    <w:p w14:paraId="5691BB77">
      <w:pPr>
        <w:spacing w:line="5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乙方逾期交付货物，乙方向甲方每日偿付逾期交货部分总值0.1℅赔偿费。</w:t>
      </w:r>
    </w:p>
    <w:p w14:paraId="2278ADDF">
      <w:pPr>
        <w:spacing w:line="5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八、因货物的质量问题发生争议，由甲方所在地市级技术监督单位进行质量鉴定。</w:t>
      </w:r>
    </w:p>
    <w:p w14:paraId="2EFEA403">
      <w:pPr>
        <w:spacing w:line="5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九、甲乙双方应严格遵守投标要求和投标单位须知，如有违反，按投标要求和投标单位须知规定予以处理。</w:t>
      </w:r>
    </w:p>
    <w:p w14:paraId="27AD9028">
      <w:pPr>
        <w:spacing w:line="520" w:lineRule="exact"/>
        <w:ind w:firstLine="472" w:firstLineChars="225"/>
        <w:rPr>
          <w:rFonts w:ascii="宋体" w:hAnsi="宋体" w:cs="宋体"/>
          <w:color w:val="auto"/>
          <w:szCs w:val="21"/>
          <w:highlight w:val="none"/>
        </w:rPr>
      </w:pPr>
      <w:r>
        <w:rPr>
          <w:rFonts w:hint="eastAsia" w:ascii="宋体" w:hAnsi="宋体" w:cs="宋体"/>
          <w:color w:val="auto"/>
          <w:szCs w:val="21"/>
          <w:highlight w:val="none"/>
        </w:rPr>
        <w:t>十、招标文件及其修改补充、投标文件及其修改澄清均为本合同的组成部分。优先支配地位的次序为：本合同、招标文件和投标文件。</w:t>
      </w:r>
    </w:p>
    <w:p w14:paraId="69A692EA">
      <w:pPr>
        <w:spacing w:line="5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十一、本合同发生争议时双方应按合同条款协商解决。双方协商不成，可以向当地人民法院起诉。</w:t>
      </w:r>
    </w:p>
    <w:p w14:paraId="19DFEB8A">
      <w:pPr>
        <w:spacing w:line="5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十二、合同生效及其它：</w:t>
      </w:r>
    </w:p>
    <w:p w14:paraId="0A16FA25">
      <w:pPr>
        <w:spacing w:line="52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本合同经甲乙双方法定代表人签字、加盖公章和骑缝章后生效。本合同一式四份，甲乙双方各持两份。</w:t>
      </w:r>
    </w:p>
    <w:p w14:paraId="311D791C">
      <w:pPr>
        <w:pStyle w:val="6"/>
        <w:spacing w:line="520" w:lineRule="exact"/>
        <w:rPr>
          <w:rFonts w:ascii="宋体" w:hAnsi="宋体" w:cs="宋体"/>
          <w:color w:val="auto"/>
          <w:szCs w:val="21"/>
          <w:highlight w:val="none"/>
        </w:rPr>
      </w:pPr>
    </w:p>
    <w:p w14:paraId="1B49F86B">
      <w:pPr>
        <w:spacing w:line="520" w:lineRule="exact"/>
        <w:rPr>
          <w:rFonts w:ascii="宋体" w:hAnsi="宋体" w:cs="宋体"/>
          <w:b/>
          <w:color w:val="auto"/>
          <w:szCs w:val="21"/>
          <w:highlight w:val="none"/>
        </w:rPr>
      </w:pPr>
    </w:p>
    <w:p w14:paraId="144C9ADF">
      <w:pPr>
        <w:spacing w:line="520" w:lineRule="exact"/>
        <w:ind w:left="4019" w:leftChars="207" w:hanging="3584" w:hangingChars="1700"/>
        <w:rPr>
          <w:rFonts w:ascii="宋体" w:hAnsi="宋体" w:cs="宋体"/>
          <w:b/>
          <w:color w:val="auto"/>
          <w:szCs w:val="21"/>
          <w:highlight w:val="none"/>
        </w:rPr>
      </w:pPr>
      <w:r>
        <w:rPr>
          <w:rFonts w:hint="eastAsia" w:ascii="宋体" w:hAnsi="宋体" w:cs="宋体"/>
          <w:b/>
          <w:color w:val="auto"/>
          <w:szCs w:val="21"/>
          <w:highlight w:val="none"/>
        </w:rPr>
        <w:t xml:space="preserve">甲方：博爱县教育体育局                       乙方： </w:t>
      </w:r>
    </w:p>
    <w:p w14:paraId="4EE44206">
      <w:pPr>
        <w:spacing w:line="520" w:lineRule="exact"/>
        <w:ind w:left="3592" w:leftChars="205" w:hanging="3162" w:hangingChars="1500"/>
        <w:rPr>
          <w:rFonts w:ascii="宋体" w:hAnsi="宋体" w:cs="宋体"/>
          <w:b/>
          <w:color w:val="auto"/>
          <w:szCs w:val="21"/>
          <w:highlight w:val="none"/>
        </w:rPr>
      </w:pPr>
      <w:r>
        <w:rPr>
          <w:rFonts w:hint="eastAsia" w:ascii="宋体" w:hAnsi="宋体" w:cs="宋体"/>
          <w:b/>
          <w:color w:val="auto"/>
          <w:szCs w:val="21"/>
          <w:highlight w:val="none"/>
        </w:rPr>
        <w:t>地址：</w:t>
      </w:r>
      <w:r>
        <w:rPr>
          <w:rFonts w:hint="eastAsia" w:ascii="宋体" w:hAnsi="宋体" w:cs="宋体"/>
          <w:b/>
          <w:color w:val="auto"/>
          <w:szCs w:val="21"/>
          <w:highlight w:val="none"/>
          <w:lang w:val="en-US" w:eastAsia="zh-CN"/>
        </w:rPr>
        <w:t xml:space="preserve">             </w:t>
      </w:r>
      <w:r>
        <w:rPr>
          <w:rFonts w:hint="eastAsia" w:ascii="宋体" w:hAnsi="宋体" w:cs="宋体"/>
          <w:color w:val="auto"/>
          <w:szCs w:val="21"/>
          <w:highlight w:val="none"/>
        </w:rPr>
        <w:t xml:space="preserve">                          </w:t>
      </w:r>
      <w:r>
        <w:rPr>
          <w:rFonts w:hint="eastAsia" w:ascii="宋体" w:hAnsi="宋体" w:cs="宋体"/>
          <w:b/>
          <w:color w:val="auto"/>
          <w:szCs w:val="21"/>
          <w:highlight w:val="none"/>
        </w:rPr>
        <w:t xml:space="preserve">地址： </w:t>
      </w:r>
    </w:p>
    <w:p w14:paraId="4178B249">
      <w:pPr>
        <w:spacing w:line="520" w:lineRule="exact"/>
        <w:ind w:firstLine="422" w:firstLineChars="200"/>
        <w:rPr>
          <w:rFonts w:ascii="宋体" w:hAnsi="宋体" w:cs="宋体"/>
          <w:b/>
          <w:color w:val="auto"/>
          <w:szCs w:val="21"/>
          <w:highlight w:val="none"/>
        </w:rPr>
      </w:pPr>
      <w:r>
        <w:rPr>
          <w:rFonts w:hint="eastAsia" w:ascii="宋体" w:hAnsi="宋体" w:cs="宋体"/>
          <w:b/>
          <w:color w:val="auto"/>
          <w:szCs w:val="21"/>
          <w:highlight w:val="none"/>
        </w:rPr>
        <w:t xml:space="preserve">法定代表人：   </w:t>
      </w:r>
      <w:r>
        <w:rPr>
          <w:rFonts w:hint="eastAsia" w:ascii="宋体" w:hAnsi="宋体" w:cs="宋体"/>
          <w:color w:val="auto"/>
          <w:szCs w:val="21"/>
          <w:highlight w:val="none"/>
        </w:rPr>
        <w:t xml:space="preserve">　 　　　　　           </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 xml:space="preserve">     </w:t>
      </w:r>
      <w:r>
        <w:rPr>
          <w:rFonts w:hint="eastAsia" w:ascii="宋体" w:hAnsi="宋体" w:cs="宋体"/>
          <w:b/>
          <w:color w:val="auto"/>
          <w:szCs w:val="21"/>
          <w:highlight w:val="none"/>
        </w:rPr>
        <w:t>法人（授权委托人）：</w:t>
      </w:r>
    </w:p>
    <w:p w14:paraId="5F481ACB">
      <w:pPr>
        <w:spacing w:line="520" w:lineRule="exact"/>
        <w:rPr>
          <w:rFonts w:hint="eastAsia" w:ascii="宋体" w:hAnsi="宋体" w:eastAsia="宋体" w:cs="宋体"/>
          <w:b/>
          <w:color w:val="auto"/>
          <w:szCs w:val="21"/>
          <w:highlight w:val="none"/>
          <w:lang w:val="en-US" w:eastAsia="zh-CN"/>
        </w:rPr>
      </w:pPr>
      <w:r>
        <w:rPr>
          <w:rFonts w:hint="eastAsia" w:ascii="宋体" w:hAnsi="宋体" w:cs="宋体"/>
          <w:b/>
          <w:color w:val="auto"/>
          <w:szCs w:val="21"/>
          <w:highlight w:val="none"/>
          <w:lang w:val="en-US" w:eastAsia="zh-CN"/>
        </w:rPr>
        <w:t xml:space="preserve"> </w:t>
      </w:r>
    </w:p>
    <w:p w14:paraId="3F0FC1EE">
      <w:pPr>
        <w:spacing w:line="520" w:lineRule="exact"/>
        <w:rPr>
          <w:rFonts w:ascii="宋体" w:hAnsi="宋体" w:cs="宋体"/>
          <w:b/>
          <w:color w:val="auto"/>
          <w:szCs w:val="21"/>
          <w:highlight w:val="none"/>
        </w:rPr>
      </w:pPr>
    </w:p>
    <w:p w14:paraId="72A49240">
      <w:pPr>
        <w:spacing w:line="520" w:lineRule="exact"/>
        <w:ind w:firstLine="422" w:firstLineChars="200"/>
        <w:rPr>
          <w:rFonts w:ascii="宋体" w:hAnsi="宋体" w:cs="宋体"/>
          <w:b/>
          <w:color w:val="auto"/>
          <w:szCs w:val="21"/>
          <w:highlight w:val="none"/>
        </w:rPr>
      </w:pPr>
      <w:r>
        <w:rPr>
          <w:rFonts w:hint="eastAsia" w:ascii="宋体" w:hAnsi="宋体" w:cs="宋体"/>
          <w:b/>
          <w:color w:val="auto"/>
          <w:szCs w:val="21"/>
          <w:highlight w:val="none"/>
        </w:rPr>
        <w:t>电　　话：</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 xml:space="preserve">                       </w:t>
      </w:r>
      <w:r>
        <w:rPr>
          <w:rFonts w:hint="eastAsia" w:ascii="宋体" w:hAnsi="宋体" w:cs="宋体"/>
          <w:color w:val="auto"/>
          <w:szCs w:val="21"/>
          <w:highlight w:val="none"/>
          <w:lang w:val="en-US" w:eastAsia="zh-CN"/>
        </w:rPr>
        <w:t xml:space="preserve">       </w:t>
      </w:r>
      <w:r>
        <w:rPr>
          <w:rFonts w:hint="eastAsia" w:ascii="宋体" w:hAnsi="宋体" w:cs="宋体"/>
          <w:b/>
          <w:color w:val="auto"/>
          <w:szCs w:val="21"/>
          <w:highlight w:val="none"/>
        </w:rPr>
        <w:t xml:space="preserve">电　　话： </w:t>
      </w:r>
    </w:p>
    <w:p w14:paraId="4F0FE46A">
      <w:pPr>
        <w:spacing w:line="520" w:lineRule="exact"/>
        <w:ind w:left="3592" w:leftChars="205" w:hanging="3162" w:hangingChars="1500"/>
        <w:rPr>
          <w:rFonts w:ascii="宋体" w:hAnsi="宋体" w:cs="宋体"/>
          <w:b/>
          <w:color w:val="auto"/>
          <w:szCs w:val="21"/>
          <w:highlight w:val="none"/>
        </w:rPr>
      </w:pPr>
      <w:r>
        <w:rPr>
          <w:rFonts w:hint="eastAsia" w:ascii="宋体" w:hAnsi="宋体" w:cs="宋体"/>
          <w:b/>
          <w:color w:val="auto"/>
          <w:szCs w:val="21"/>
          <w:highlight w:val="none"/>
        </w:rPr>
        <w:t>开户银行：</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 xml:space="preserve">                 </w:t>
      </w:r>
      <w:r>
        <w:rPr>
          <w:rFonts w:hint="eastAsia" w:ascii="宋体" w:hAnsi="宋体" w:cs="宋体"/>
          <w:color w:val="auto"/>
          <w:szCs w:val="21"/>
          <w:highlight w:val="none"/>
          <w:lang w:val="en-US" w:eastAsia="zh-CN"/>
        </w:rPr>
        <w:t xml:space="preserve">      </w:t>
      </w:r>
      <w:r>
        <w:rPr>
          <w:rFonts w:hint="eastAsia" w:ascii="宋体" w:hAnsi="宋体" w:cs="宋体"/>
          <w:b/>
          <w:color w:val="auto"/>
          <w:szCs w:val="21"/>
          <w:highlight w:val="none"/>
        </w:rPr>
        <w:t>开户银行：</w:t>
      </w:r>
      <w:r>
        <w:rPr>
          <w:rFonts w:hint="eastAsia" w:ascii="宋体" w:hAnsi="宋体" w:cs="宋体"/>
          <w:color w:val="auto"/>
          <w:szCs w:val="21"/>
          <w:highlight w:val="none"/>
        </w:rPr>
        <w:t xml:space="preserve"> </w:t>
      </w:r>
    </w:p>
    <w:p w14:paraId="4AA1FA83">
      <w:pPr>
        <w:spacing w:line="520" w:lineRule="exact"/>
        <w:ind w:firstLine="422" w:firstLineChars="200"/>
        <w:rPr>
          <w:rFonts w:ascii="宋体" w:hAnsi="宋体" w:cs="宋体"/>
          <w:b/>
          <w:color w:val="auto"/>
          <w:szCs w:val="21"/>
          <w:highlight w:val="none"/>
        </w:rPr>
      </w:pPr>
      <w:r>
        <w:rPr>
          <w:rFonts w:hint="eastAsia" w:ascii="宋体" w:hAnsi="宋体" w:cs="宋体"/>
          <w:b/>
          <w:color w:val="auto"/>
          <w:szCs w:val="21"/>
          <w:highlight w:val="none"/>
        </w:rPr>
        <w:t>银行账号：</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 xml:space="preserve">               </w:t>
      </w:r>
      <w:r>
        <w:rPr>
          <w:rFonts w:hint="eastAsia" w:ascii="宋体" w:hAnsi="宋体" w:cs="宋体"/>
          <w:color w:val="auto"/>
          <w:szCs w:val="21"/>
          <w:highlight w:val="none"/>
          <w:lang w:val="en-US" w:eastAsia="zh-CN"/>
        </w:rPr>
        <w:t xml:space="preserve">     </w:t>
      </w:r>
      <w:r>
        <w:rPr>
          <w:rFonts w:hint="eastAsia" w:ascii="宋体" w:hAnsi="宋体" w:cs="宋体"/>
          <w:b/>
          <w:color w:val="auto"/>
          <w:szCs w:val="21"/>
          <w:highlight w:val="none"/>
        </w:rPr>
        <w:t>银行账号：</w:t>
      </w:r>
      <w:r>
        <w:rPr>
          <w:rFonts w:hint="eastAsia" w:ascii="宋体" w:hAnsi="宋体" w:cs="宋体"/>
          <w:color w:val="auto"/>
          <w:szCs w:val="21"/>
          <w:highlight w:val="none"/>
        </w:rPr>
        <w:t xml:space="preserve"> </w:t>
      </w:r>
    </w:p>
    <w:p w14:paraId="3E1396A3">
      <w:pPr>
        <w:spacing w:line="520" w:lineRule="exact"/>
        <w:ind w:firstLine="422" w:firstLineChars="200"/>
        <w:rPr>
          <w:rFonts w:ascii="宋体" w:hAnsi="宋体" w:cs="宋体"/>
          <w:b/>
          <w:color w:val="auto"/>
          <w:szCs w:val="21"/>
          <w:highlight w:val="none"/>
        </w:rPr>
      </w:pPr>
      <w:r>
        <w:rPr>
          <w:rFonts w:hint="eastAsia" w:ascii="宋体" w:hAnsi="宋体" w:cs="宋体"/>
          <w:b/>
          <w:color w:val="auto"/>
          <w:szCs w:val="21"/>
          <w:highlight w:val="none"/>
        </w:rPr>
        <w:t>开户名:</w:t>
      </w:r>
      <w:r>
        <w:rPr>
          <w:rFonts w:hint="eastAsia" w:ascii="宋体" w:hAnsi="宋体" w:cs="宋体"/>
          <w:color w:val="auto"/>
          <w:szCs w:val="21"/>
          <w:highlight w:val="none"/>
        </w:rPr>
        <w:t xml:space="preserve">博爱县非税收入资金                    </w:t>
      </w:r>
      <w:r>
        <w:rPr>
          <w:rFonts w:hint="eastAsia" w:ascii="宋体" w:hAnsi="宋体" w:cs="宋体"/>
          <w:b/>
          <w:color w:val="auto"/>
          <w:szCs w:val="21"/>
          <w:highlight w:val="none"/>
        </w:rPr>
        <w:t>开户名:</w:t>
      </w:r>
    </w:p>
    <w:p w14:paraId="3B5E1908">
      <w:pPr>
        <w:spacing w:line="520" w:lineRule="exact"/>
        <w:ind w:firstLine="1260" w:firstLineChars="600"/>
        <w:rPr>
          <w:rFonts w:ascii="宋体" w:hAnsi="宋体" w:cs="宋体"/>
          <w:color w:val="auto"/>
          <w:szCs w:val="21"/>
          <w:highlight w:val="none"/>
        </w:rPr>
      </w:pPr>
      <w:r>
        <w:rPr>
          <w:rFonts w:hint="eastAsia" w:ascii="宋体" w:hAnsi="宋体" w:cs="宋体"/>
          <w:color w:val="auto"/>
          <w:szCs w:val="21"/>
          <w:highlight w:val="none"/>
        </w:rPr>
        <w:t xml:space="preserve">财政专户                         </w:t>
      </w:r>
    </w:p>
    <w:p w14:paraId="53572C34">
      <w:pPr>
        <w:spacing w:line="520" w:lineRule="exact"/>
        <w:ind w:firstLine="422" w:firstLineChars="200"/>
        <w:rPr>
          <w:rFonts w:ascii="宋体" w:hAnsi="宋体" w:cs="宋体"/>
          <w:color w:val="auto"/>
          <w:szCs w:val="21"/>
          <w:highlight w:val="none"/>
        </w:rPr>
      </w:pPr>
      <w:r>
        <w:rPr>
          <w:rFonts w:hint="eastAsia" w:ascii="宋体" w:hAnsi="宋体" w:cs="宋体"/>
          <w:b/>
          <w:color w:val="auto"/>
          <w:szCs w:val="21"/>
          <w:highlight w:val="none"/>
        </w:rPr>
        <w:t>签约时间：</w:t>
      </w:r>
      <w:r>
        <w:rPr>
          <w:rFonts w:hint="eastAsia" w:ascii="宋体" w:hAnsi="宋体" w:cs="宋体"/>
          <w:color w:val="auto"/>
          <w:szCs w:val="21"/>
          <w:highlight w:val="none"/>
          <w:lang w:eastAsia="zh-CN"/>
        </w:rPr>
        <w:t>2024年</w:t>
      </w:r>
      <w:r>
        <w:rPr>
          <w:rFonts w:hint="eastAsia" w:ascii="宋体" w:hAnsi="宋体" w:cs="宋体"/>
          <w:color w:val="auto"/>
          <w:szCs w:val="21"/>
          <w:highlight w:val="none"/>
        </w:rPr>
        <w:t xml:space="preserve">   月  日      </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 xml:space="preserve">         </w:t>
      </w:r>
      <w:r>
        <w:rPr>
          <w:rFonts w:hint="eastAsia" w:ascii="宋体" w:hAnsi="宋体" w:cs="宋体"/>
          <w:b/>
          <w:color w:val="auto"/>
          <w:szCs w:val="21"/>
          <w:highlight w:val="none"/>
        </w:rPr>
        <w:t>签约地点：</w:t>
      </w:r>
      <w:r>
        <w:rPr>
          <w:rFonts w:hint="eastAsia" w:ascii="宋体" w:hAnsi="宋体" w:cs="宋体"/>
          <w:color w:val="auto"/>
          <w:szCs w:val="21"/>
          <w:highlight w:val="none"/>
        </w:rPr>
        <w:t>博爱县教育体育局</w:t>
      </w:r>
    </w:p>
    <w:p w14:paraId="5E437D3A">
      <w:pPr>
        <w:spacing w:line="520" w:lineRule="exact"/>
        <w:ind w:left="4410" w:hanging="4410" w:hangingChars="2100"/>
        <w:rPr>
          <w:rFonts w:ascii="宋体" w:hAnsi="宋体" w:cs="宋体"/>
          <w:color w:val="auto"/>
          <w:szCs w:val="21"/>
          <w:highlight w:val="none"/>
        </w:rPr>
      </w:pPr>
    </w:p>
    <w:p w14:paraId="4E8279FA">
      <w:pPr>
        <w:spacing w:line="520" w:lineRule="exact"/>
        <w:rPr>
          <w:rFonts w:ascii="宋体" w:hAnsi="宋体" w:cs="宋体"/>
          <w:b/>
          <w:bCs/>
          <w:color w:val="auto"/>
          <w:szCs w:val="21"/>
          <w:highlight w:val="none"/>
        </w:rPr>
      </w:pPr>
    </w:p>
    <w:p w14:paraId="0BD72C78">
      <w:pPr>
        <w:spacing w:line="520" w:lineRule="exact"/>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附：采购货物表</w:t>
      </w:r>
    </w:p>
    <w:p w14:paraId="537327B1">
      <w:pPr>
        <w:pStyle w:val="10"/>
        <w:jc w:val="center"/>
        <w:outlineLvl w:val="0"/>
        <w:rPr>
          <w:rFonts w:ascii="宋体" w:hAnsi="宋体" w:cs="宋体"/>
          <w:b/>
          <w:bCs/>
          <w:color w:val="auto"/>
          <w:sz w:val="21"/>
          <w:szCs w:val="21"/>
          <w:highlight w:val="none"/>
        </w:rPr>
      </w:pPr>
    </w:p>
    <w:p w14:paraId="5DEBC802">
      <w:pPr>
        <w:pStyle w:val="10"/>
        <w:jc w:val="center"/>
        <w:outlineLvl w:val="0"/>
        <w:rPr>
          <w:rFonts w:ascii="宋体" w:hAnsi="宋体" w:cs="宋体"/>
          <w:b/>
          <w:bCs/>
          <w:color w:val="auto"/>
          <w:sz w:val="21"/>
          <w:szCs w:val="21"/>
          <w:highlight w:val="none"/>
        </w:rPr>
      </w:pPr>
    </w:p>
    <w:p w14:paraId="0632C70B">
      <w:pPr>
        <w:pStyle w:val="10"/>
        <w:spacing w:after="0" w:line="360" w:lineRule="auto"/>
        <w:jc w:val="center"/>
        <w:outlineLvl w:val="0"/>
        <w:rPr>
          <w:rFonts w:ascii="宋体" w:hAnsi="宋体" w:cs="宋体"/>
          <w:b/>
          <w:bCs/>
          <w:color w:val="auto"/>
          <w:sz w:val="32"/>
          <w:szCs w:val="32"/>
          <w:highlight w:val="none"/>
        </w:rPr>
      </w:pPr>
      <w:bookmarkStart w:id="282" w:name="_Toc13770"/>
      <w:r>
        <w:rPr>
          <w:rFonts w:hint="eastAsia" w:ascii="宋体" w:hAnsi="宋体" w:cs="宋体"/>
          <w:b/>
          <w:bCs/>
          <w:color w:val="auto"/>
          <w:sz w:val="32"/>
          <w:szCs w:val="32"/>
          <w:highlight w:val="none"/>
        </w:rPr>
        <w:t>第五章 采购内容及技术要求</w:t>
      </w:r>
      <w:bookmarkEnd w:id="282"/>
    </w:p>
    <w:bookmarkEnd w:id="281"/>
    <w:tbl>
      <w:tblPr>
        <w:tblStyle w:val="2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600"/>
        <w:gridCol w:w="5760"/>
        <w:gridCol w:w="641"/>
        <w:gridCol w:w="530"/>
      </w:tblGrid>
      <w:tr w14:paraId="29E1C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5"/>
            <w:noWrap w:val="0"/>
            <w:vAlign w:val="center"/>
          </w:tcPr>
          <w:p w14:paraId="4BFCEA88">
            <w:pPr>
              <w:keepNext w:val="0"/>
              <w:keepLines w:val="0"/>
              <w:pageBreakBefore w:val="0"/>
              <w:kinsoku/>
              <w:overflowPunct/>
              <w:topLinePunct w:val="0"/>
              <w:bidi w:val="0"/>
              <w:snapToGrid/>
              <w:spacing w:after="0" w:line="440" w:lineRule="exact"/>
              <w:textAlignment w:val="auto"/>
              <w:rPr>
                <w:rFonts w:hint="eastAsia" w:ascii="宋体" w:hAnsi="宋体" w:eastAsia="宋体" w:cs="宋体"/>
                <w:b/>
                <w:bCs/>
                <w:color w:val="auto"/>
                <w:spacing w:val="-8"/>
                <w:sz w:val="21"/>
                <w:szCs w:val="21"/>
                <w:highlight w:val="none"/>
              </w:rPr>
            </w:pPr>
            <w:bookmarkStart w:id="283" w:name="_Toc426369533"/>
            <w:bookmarkStart w:id="284" w:name="_Toc403122572"/>
            <w:bookmarkStart w:id="285" w:name="_Toc7906"/>
            <w:r>
              <w:rPr>
                <w:rFonts w:hint="eastAsia" w:ascii="宋体" w:hAnsi="宋体" w:cs="宋体"/>
                <w:b/>
                <w:bCs/>
                <w:color w:val="auto"/>
                <w:sz w:val="21"/>
                <w:szCs w:val="21"/>
                <w:highlight w:val="none"/>
                <w:lang w:val="en-US" w:eastAsia="zh-CN"/>
              </w:rPr>
              <w:t>1</w:t>
            </w:r>
            <w:r>
              <w:rPr>
                <w:rFonts w:hint="eastAsia" w:ascii="宋体" w:hAnsi="宋体" w:eastAsia="宋体" w:cs="宋体"/>
                <w:b/>
                <w:bCs/>
                <w:color w:val="auto"/>
                <w:sz w:val="21"/>
                <w:szCs w:val="21"/>
                <w:highlight w:val="none"/>
              </w:rPr>
              <w:t>.基础化学实训室</w:t>
            </w:r>
          </w:p>
        </w:tc>
      </w:tr>
      <w:tr w14:paraId="1C57B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1B4E134E">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b/>
                <w:bCs/>
                <w:color w:val="auto"/>
                <w:spacing w:val="-8"/>
                <w:sz w:val="21"/>
                <w:szCs w:val="21"/>
                <w:highlight w:val="none"/>
              </w:rPr>
            </w:pPr>
            <w:r>
              <w:rPr>
                <w:rFonts w:hint="eastAsia" w:ascii="宋体" w:hAnsi="宋体" w:eastAsia="宋体" w:cs="宋体"/>
                <w:b/>
                <w:bCs/>
                <w:color w:val="auto"/>
                <w:spacing w:val="-8"/>
                <w:sz w:val="21"/>
                <w:szCs w:val="21"/>
                <w:highlight w:val="none"/>
              </w:rPr>
              <w:t>序号</w:t>
            </w:r>
          </w:p>
        </w:tc>
        <w:tc>
          <w:tcPr>
            <w:tcW w:w="1483" w:type="dxa"/>
            <w:noWrap w:val="0"/>
            <w:vAlign w:val="center"/>
          </w:tcPr>
          <w:p w14:paraId="6389F1EF">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b/>
                <w:bCs/>
                <w:color w:val="auto"/>
                <w:spacing w:val="-8"/>
                <w:sz w:val="21"/>
                <w:szCs w:val="21"/>
                <w:highlight w:val="none"/>
              </w:rPr>
            </w:pPr>
            <w:r>
              <w:rPr>
                <w:rFonts w:hint="eastAsia" w:ascii="宋体" w:hAnsi="宋体" w:eastAsia="宋体" w:cs="宋体"/>
                <w:b/>
                <w:bCs/>
                <w:color w:val="auto"/>
                <w:spacing w:val="-8"/>
                <w:sz w:val="21"/>
                <w:szCs w:val="21"/>
                <w:highlight w:val="none"/>
              </w:rPr>
              <w:t>配备设备名称</w:t>
            </w:r>
          </w:p>
        </w:tc>
        <w:tc>
          <w:tcPr>
            <w:tcW w:w="5339" w:type="dxa"/>
            <w:noWrap/>
            <w:vAlign w:val="center"/>
          </w:tcPr>
          <w:p w14:paraId="6CFEE02F">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b/>
                <w:bCs/>
                <w:color w:val="auto"/>
                <w:spacing w:val="-8"/>
                <w:sz w:val="21"/>
                <w:szCs w:val="21"/>
                <w:highlight w:val="none"/>
              </w:rPr>
            </w:pPr>
            <w:r>
              <w:rPr>
                <w:rFonts w:hint="eastAsia" w:ascii="宋体" w:hAnsi="宋体" w:eastAsia="宋体" w:cs="宋体"/>
                <w:b/>
                <w:bCs/>
                <w:color w:val="auto"/>
                <w:spacing w:val="-8"/>
                <w:sz w:val="21"/>
                <w:szCs w:val="21"/>
                <w:highlight w:val="none"/>
              </w:rPr>
              <w:t>技术参数及要求</w:t>
            </w:r>
          </w:p>
        </w:tc>
        <w:tc>
          <w:tcPr>
            <w:tcW w:w="594" w:type="dxa"/>
            <w:noWrap w:val="0"/>
            <w:vAlign w:val="center"/>
          </w:tcPr>
          <w:p w14:paraId="7A9DBDF7">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b/>
                <w:bCs/>
                <w:color w:val="auto"/>
                <w:spacing w:val="-8"/>
                <w:sz w:val="21"/>
                <w:szCs w:val="21"/>
                <w:highlight w:val="none"/>
              </w:rPr>
            </w:pPr>
            <w:r>
              <w:rPr>
                <w:rFonts w:hint="eastAsia" w:ascii="宋体" w:hAnsi="宋体" w:eastAsia="宋体" w:cs="宋体"/>
                <w:b/>
                <w:bCs/>
                <w:color w:val="auto"/>
                <w:spacing w:val="-8"/>
                <w:sz w:val="21"/>
                <w:szCs w:val="21"/>
                <w:highlight w:val="none"/>
              </w:rPr>
              <w:t>单位</w:t>
            </w:r>
          </w:p>
        </w:tc>
        <w:tc>
          <w:tcPr>
            <w:tcW w:w="491" w:type="dxa"/>
            <w:noWrap w:val="0"/>
            <w:vAlign w:val="center"/>
          </w:tcPr>
          <w:p w14:paraId="4723E10F">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b/>
                <w:bCs/>
                <w:color w:val="auto"/>
                <w:spacing w:val="-8"/>
                <w:sz w:val="21"/>
                <w:szCs w:val="21"/>
                <w:highlight w:val="none"/>
              </w:rPr>
            </w:pPr>
            <w:r>
              <w:rPr>
                <w:rFonts w:hint="eastAsia" w:ascii="宋体" w:hAnsi="宋体" w:eastAsia="宋体" w:cs="宋体"/>
                <w:b/>
                <w:bCs/>
                <w:color w:val="auto"/>
                <w:spacing w:val="-8"/>
                <w:sz w:val="21"/>
                <w:szCs w:val="21"/>
                <w:highlight w:val="none"/>
              </w:rPr>
              <w:t>数量</w:t>
            </w:r>
          </w:p>
        </w:tc>
      </w:tr>
      <w:tr w14:paraId="28F31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7441E248">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b/>
                <w:bCs/>
                <w:color w:val="auto"/>
                <w:spacing w:val="-8"/>
                <w:sz w:val="21"/>
                <w:szCs w:val="21"/>
                <w:highlight w:val="none"/>
              </w:rPr>
            </w:pPr>
            <w:r>
              <w:rPr>
                <w:rFonts w:hint="eastAsia" w:ascii="宋体" w:hAnsi="宋体" w:eastAsia="宋体" w:cs="宋体"/>
                <w:b/>
                <w:bCs/>
                <w:color w:val="auto"/>
                <w:spacing w:val="-8"/>
                <w:sz w:val="21"/>
                <w:szCs w:val="21"/>
                <w:highlight w:val="none"/>
              </w:rPr>
              <w:t>1</w:t>
            </w:r>
          </w:p>
        </w:tc>
        <w:tc>
          <w:tcPr>
            <w:tcW w:w="1483" w:type="dxa"/>
            <w:noWrap w:val="0"/>
            <w:vAlign w:val="center"/>
          </w:tcPr>
          <w:p w14:paraId="5FFA3233">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b/>
                <w:bCs/>
                <w:color w:val="auto"/>
                <w:spacing w:val="-8"/>
                <w:sz w:val="21"/>
                <w:szCs w:val="21"/>
                <w:highlight w:val="none"/>
              </w:rPr>
            </w:pPr>
            <w:r>
              <w:rPr>
                <w:rFonts w:hint="eastAsia" w:ascii="宋体" w:hAnsi="宋体" w:eastAsia="宋体" w:cs="宋体"/>
                <w:color w:val="auto"/>
                <w:spacing w:val="-8"/>
                <w:sz w:val="21"/>
                <w:szCs w:val="21"/>
                <w:highlight w:val="none"/>
              </w:rPr>
              <w:t>循环水真空泵</w:t>
            </w:r>
          </w:p>
        </w:tc>
        <w:tc>
          <w:tcPr>
            <w:tcW w:w="5339" w:type="dxa"/>
            <w:noWrap/>
            <w:vAlign w:val="center"/>
          </w:tcPr>
          <w:p w14:paraId="42BD8A0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1.流量（L/min）:≥90</w:t>
            </w:r>
          </w:p>
          <w:p w14:paraId="5AC04DD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2.扬程（m）:</w:t>
            </w:r>
            <w:r>
              <w:rPr>
                <w:rFonts w:hint="eastAsia" w:ascii="宋体" w:hAnsi="宋体" w:eastAsia="宋体" w:cs="宋体"/>
                <w:color w:val="auto"/>
                <w:sz w:val="21"/>
                <w:szCs w:val="21"/>
                <w:highlight w:val="none"/>
              </w:rPr>
              <w:t xml:space="preserve"> </w:t>
            </w:r>
            <w:r>
              <w:rPr>
                <w:rFonts w:hint="eastAsia" w:ascii="宋体" w:hAnsi="宋体" w:eastAsia="宋体" w:cs="宋体"/>
                <w:color w:val="auto"/>
                <w:spacing w:val="-8"/>
                <w:sz w:val="21"/>
                <w:szCs w:val="21"/>
                <w:highlight w:val="none"/>
              </w:rPr>
              <w:t>≥12</w:t>
            </w:r>
          </w:p>
          <w:p w14:paraId="06BB24B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3.最大真空度（MPa）:0.098（20mbar）</w:t>
            </w:r>
          </w:p>
          <w:p w14:paraId="71C4AB8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4.单头抽气量（L/min）:≥10</w:t>
            </w:r>
          </w:p>
          <w:p w14:paraId="1B5A64E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5.抽气头数（个）:≥2</w:t>
            </w:r>
          </w:p>
          <w:p w14:paraId="0B258EE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6.安全功能:防腐止回流阀</w:t>
            </w:r>
          </w:p>
          <w:p w14:paraId="5C7C528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7.水箱容积（L）:</w:t>
            </w:r>
            <w:r>
              <w:rPr>
                <w:rFonts w:hint="eastAsia" w:ascii="宋体" w:hAnsi="宋体" w:eastAsia="宋体" w:cs="宋体"/>
                <w:color w:val="auto"/>
                <w:sz w:val="21"/>
                <w:szCs w:val="21"/>
                <w:highlight w:val="none"/>
              </w:rPr>
              <w:t xml:space="preserve"> </w:t>
            </w:r>
            <w:r>
              <w:rPr>
                <w:rFonts w:hint="eastAsia" w:ascii="宋体" w:hAnsi="宋体" w:eastAsia="宋体" w:cs="宋体"/>
                <w:color w:val="auto"/>
                <w:spacing w:val="-8"/>
                <w:sz w:val="21"/>
                <w:szCs w:val="21"/>
                <w:highlight w:val="none"/>
              </w:rPr>
              <w:t>≥15</w:t>
            </w:r>
          </w:p>
          <w:p w14:paraId="5D77E21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8.水箱材质:防腐工程塑料</w:t>
            </w:r>
          </w:p>
          <w:p w14:paraId="02BE631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9.抽气孔直径：≥φ8</w:t>
            </w:r>
          </w:p>
          <w:p w14:paraId="4608E52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10.循环水出水口直径：≥φ8</w:t>
            </w:r>
          </w:p>
        </w:tc>
        <w:tc>
          <w:tcPr>
            <w:tcW w:w="594" w:type="dxa"/>
            <w:noWrap w:val="0"/>
            <w:vAlign w:val="center"/>
          </w:tcPr>
          <w:p w14:paraId="46FDDE84">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b/>
                <w:bCs/>
                <w:color w:val="auto"/>
                <w:spacing w:val="-8"/>
                <w:sz w:val="21"/>
                <w:szCs w:val="21"/>
                <w:highlight w:val="none"/>
              </w:rPr>
            </w:pPr>
            <w:r>
              <w:rPr>
                <w:rFonts w:hint="eastAsia" w:ascii="宋体" w:hAnsi="宋体" w:eastAsia="宋体" w:cs="宋体"/>
                <w:color w:val="auto"/>
                <w:spacing w:val="-8"/>
                <w:sz w:val="21"/>
                <w:szCs w:val="21"/>
                <w:highlight w:val="none"/>
              </w:rPr>
              <w:t>台</w:t>
            </w:r>
          </w:p>
        </w:tc>
        <w:tc>
          <w:tcPr>
            <w:tcW w:w="491" w:type="dxa"/>
            <w:noWrap w:val="0"/>
            <w:vAlign w:val="center"/>
          </w:tcPr>
          <w:p w14:paraId="52CFC71B">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b/>
                <w:bCs/>
                <w:color w:val="auto"/>
                <w:spacing w:val="-8"/>
                <w:sz w:val="21"/>
                <w:szCs w:val="21"/>
                <w:highlight w:val="none"/>
              </w:rPr>
            </w:pPr>
            <w:r>
              <w:rPr>
                <w:rFonts w:hint="eastAsia" w:ascii="宋体" w:hAnsi="宋体" w:eastAsia="宋体" w:cs="宋体"/>
                <w:b/>
                <w:bCs/>
                <w:color w:val="auto"/>
                <w:spacing w:val="-8"/>
                <w:sz w:val="21"/>
                <w:szCs w:val="21"/>
                <w:highlight w:val="none"/>
              </w:rPr>
              <w:t>5</w:t>
            </w:r>
          </w:p>
        </w:tc>
      </w:tr>
      <w:tr w14:paraId="14602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3AE6E1E7">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b/>
                <w:bCs/>
                <w:color w:val="auto"/>
                <w:spacing w:val="-8"/>
                <w:sz w:val="21"/>
                <w:szCs w:val="21"/>
                <w:highlight w:val="none"/>
              </w:rPr>
            </w:pPr>
            <w:r>
              <w:rPr>
                <w:rFonts w:hint="eastAsia" w:ascii="宋体" w:hAnsi="宋体" w:eastAsia="宋体" w:cs="宋体"/>
                <w:b/>
                <w:bCs/>
                <w:color w:val="auto"/>
                <w:spacing w:val="-8"/>
                <w:sz w:val="21"/>
                <w:szCs w:val="21"/>
                <w:highlight w:val="none"/>
              </w:rPr>
              <w:t>2</w:t>
            </w:r>
          </w:p>
        </w:tc>
        <w:tc>
          <w:tcPr>
            <w:tcW w:w="1483" w:type="dxa"/>
            <w:noWrap w:val="0"/>
            <w:vAlign w:val="center"/>
          </w:tcPr>
          <w:p w14:paraId="06CD5834">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磁力搅拌器</w:t>
            </w:r>
          </w:p>
        </w:tc>
        <w:tc>
          <w:tcPr>
            <w:tcW w:w="5339" w:type="dxa"/>
            <w:noWrap/>
            <w:vAlign w:val="center"/>
          </w:tcPr>
          <w:p w14:paraId="0D9CCE2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1.工作盘尺寸：≥ 5寸</w:t>
            </w:r>
          </w:p>
          <w:p w14:paraId="63EB46D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2.盘面材质：不锈钢陶瓷涂层</w:t>
            </w:r>
          </w:p>
          <w:p w14:paraId="702E990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3.温度控制范围：室温</w:t>
            </w:r>
            <w:r>
              <w:rPr>
                <w:rFonts w:hint="eastAsia" w:ascii="宋体" w:hAnsi="宋体" w:eastAsia="宋体" w:cs="宋体"/>
                <w:color w:val="auto"/>
                <w:spacing w:val="-8"/>
                <w:sz w:val="21"/>
                <w:szCs w:val="21"/>
                <w:highlight w:val="none"/>
              </w:rPr>
              <w:tab/>
            </w:r>
            <w:r>
              <w:rPr>
                <w:rFonts w:hint="eastAsia" w:ascii="宋体" w:hAnsi="宋体" w:eastAsia="宋体" w:cs="宋体"/>
                <w:color w:val="auto"/>
                <w:spacing w:val="-8"/>
                <w:sz w:val="21"/>
                <w:szCs w:val="21"/>
                <w:highlight w:val="none"/>
              </w:rPr>
              <w:t>-340℃</w:t>
            </w:r>
          </w:p>
          <w:p w14:paraId="0BB9611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4.温度设定精度：1℃</w:t>
            </w:r>
          </w:p>
          <w:p w14:paraId="30D1627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5.温度显示分辨率：±0.1℃</w:t>
            </w:r>
          </w:p>
          <w:p w14:paraId="6DADC4A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6.加热功率：650w</w:t>
            </w:r>
          </w:p>
          <w:p w14:paraId="2D2D6E2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7.速度范围：100-1800rpm</w:t>
            </w:r>
          </w:p>
          <w:p w14:paraId="4F4E54F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8.最大搅拌量（水）：≥20L</w:t>
            </w:r>
          </w:p>
          <w:p w14:paraId="7205AD2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9.搅拌子最大长度：80mm</w:t>
            </w:r>
          </w:p>
          <w:p w14:paraId="762D47D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10.过温保护：≥420℃</w:t>
            </w:r>
          </w:p>
          <w:p w14:paraId="70DB000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pacing w:val="-8"/>
                <w:sz w:val="21"/>
                <w:szCs w:val="21"/>
                <w:highlight w:val="none"/>
              </w:rPr>
              <w:t>11.余热警告功能：≥50℃</w:t>
            </w:r>
          </w:p>
        </w:tc>
        <w:tc>
          <w:tcPr>
            <w:tcW w:w="594" w:type="dxa"/>
            <w:noWrap w:val="0"/>
            <w:vAlign w:val="center"/>
          </w:tcPr>
          <w:p w14:paraId="4C2E427D">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套</w:t>
            </w:r>
          </w:p>
        </w:tc>
        <w:tc>
          <w:tcPr>
            <w:tcW w:w="491" w:type="dxa"/>
            <w:noWrap w:val="0"/>
            <w:vAlign w:val="center"/>
          </w:tcPr>
          <w:p w14:paraId="3E8EF54B">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b/>
                <w:bCs/>
                <w:color w:val="auto"/>
                <w:spacing w:val="-8"/>
                <w:sz w:val="21"/>
                <w:szCs w:val="21"/>
                <w:highlight w:val="none"/>
              </w:rPr>
            </w:pPr>
            <w:r>
              <w:rPr>
                <w:rFonts w:hint="eastAsia" w:ascii="宋体" w:hAnsi="宋体" w:eastAsia="宋体" w:cs="宋体"/>
                <w:b/>
                <w:bCs/>
                <w:color w:val="auto"/>
                <w:spacing w:val="-8"/>
                <w:sz w:val="21"/>
                <w:szCs w:val="21"/>
                <w:highlight w:val="none"/>
              </w:rPr>
              <w:t>10</w:t>
            </w:r>
          </w:p>
        </w:tc>
      </w:tr>
      <w:tr w14:paraId="4D26F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64C1DF6D">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b/>
                <w:bCs/>
                <w:color w:val="auto"/>
                <w:spacing w:val="-8"/>
                <w:sz w:val="21"/>
                <w:szCs w:val="21"/>
                <w:highlight w:val="none"/>
              </w:rPr>
            </w:pPr>
            <w:r>
              <w:rPr>
                <w:rFonts w:hint="eastAsia" w:ascii="宋体" w:hAnsi="宋体" w:eastAsia="宋体" w:cs="宋体"/>
                <w:b/>
                <w:bCs/>
                <w:color w:val="auto"/>
                <w:spacing w:val="-8"/>
                <w:sz w:val="21"/>
                <w:szCs w:val="21"/>
                <w:highlight w:val="none"/>
              </w:rPr>
              <w:t>3</w:t>
            </w:r>
          </w:p>
        </w:tc>
        <w:tc>
          <w:tcPr>
            <w:tcW w:w="1483" w:type="dxa"/>
            <w:noWrap w:val="0"/>
            <w:vAlign w:val="center"/>
          </w:tcPr>
          <w:p w14:paraId="453DF6FC">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电子天平</w:t>
            </w:r>
          </w:p>
        </w:tc>
        <w:tc>
          <w:tcPr>
            <w:tcW w:w="5339" w:type="dxa"/>
            <w:noWrap/>
            <w:vAlign w:val="center"/>
          </w:tcPr>
          <w:p w14:paraId="6D2E97B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 xml:space="preserve">高精传感，精准计数，100g,0.01g </w:t>
            </w:r>
          </w:p>
        </w:tc>
        <w:tc>
          <w:tcPr>
            <w:tcW w:w="594" w:type="dxa"/>
            <w:noWrap w:val="0"/>
            <w:vAlign w:val="center"/>
          </w:tcPr>
          <w:p w14:paraId="749F459F">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台</w:t>
            </w:r>
          </w:p>
        </w:tc>
        <w:tc>
          <w:tcPr>
            <w:tcW w:w="491" w:type="dxa"/>
            <w:noWrap w:val="0"/>
            <w:vAlign w:val="center"/>
          </w:tcPr>
          <w:p w14:paraId="5E59CE4F">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b/>
                <w:bCs/>
                <w:color w:val="auto"/>
                <w:spacing w:val="-8"/>
                <w:sz w:val="21"/>
                <w:szCs w:val="21"/>
                <w:highlight w:val="none"/>
              </w:rPr>
            </w:pPr>
            <w:r>
              <w:rPr>
                <w:rFonts w:hint="eastAsia" w:ascii="宋体" w:hAnsi="宋体" w:eastAsia="宋体" w:cs="宋体"/>
                <w:b/>
                <w:bCs/>
                <w:color w:val="auto"/>
                <w:spacing w:val="-8"/>
                <w:sz w:val="21"/>
                <w:szCs w:val="21"/>
                <w:highlight w:val="none"/>
              </w:rPr>
              <w:t>10</w:t>
            </w:r>
          </w:p>
        </w:tc>
      </w:tr>
      <w:tr w14:paraId="4220C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011FAC3C">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b/>
                <w:bCs/>
                <w:color w:val="auto"/>
                <w:spacing w:val="-8"/>
                <w:sz w:val="21"/>
                <w:szCs w:val="21"/>
                <w:highlight w:val="none"/>
              </w:rPr>
            </w:pPr>
            <w:r>
              <w:rPr>
                <w:rFonts w:hint="eastAsia" w:ascii="宋体" w:hAnsi="宋体" w:eastAsia="宋体" w:cs="宋体"/>
                <w:b/>
                <w:bCs/>
                <w:color w:val="auto"/>
                <w:spacing w:val="-8"/>
                <w:sz w:val="21"/>
                <w:szCs w:val="21"/>
                <w:highlight w:val="none"/>
              </w:rPr>
              <w:t>4</w:t>
            </w:r>
          </w:p>
        </w:tc>
        <w:tc>
          <w:tcPr>
            <w:tcW w:w="1483" w:type="dxa"/>
            <w:noWrap w:val="0"/>
            <w:vAlign w:val="center"/>
          </w:tcPr>
          <w:p w14:paraId="65E45AE2">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z w:val="21"/>
                <w:szCs w:val="21"/>
                <w:highlight w:val="none"/>
              </w:rPr>
              <w:t>pH计</w:t>
            </w:r>
          </w:p>
        </w:tc>
        <w:tc>
          <w:tcPr>
            <w:tcW w:w="5339" w:type="dxa"/>
            <w:noWrap/>
            <w:vAlign w:val="center"/>
          </w:tcPr>
          <w:p w14:paraId="38E1954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pacing w:val="-8"/>
                <w:sz w:val="21"/>
                <w:szCs w:val="21"/>
                <w:highlight w:val="none"/>
              </w:rPr>
              <w:t>仪器级别：</w:t>
            </w:r>
            <w:r>
              <w:rPr>
                <w:rFonts w:hint="eastAsia" w:ascii="宋体" w:hAnsi="宋体" w:eastAsia="宋体" w:cs="宋体"/>
                <w:color w:val="auto"/>
                <w:sz w:val="21"/>
                <w:szCs w:val="21"/>
                <w:highlight w:val="none"/>
              </w:rPr>
              <w:t>0.01级</w:t>
            </w:r>
          </w:p>
          <w:p w14:paraId="4C5C810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测量参数：pH、mV</w:t>
            </w:r>
          </w:p>
          <w:p w14:paraId="2BEC0C3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测量范围：pH：(1.00～14.00)pH</w:t>
            </w:r>
          </w:p>
          <w:p w14:paraId="659DFF0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mV: （-1999～1999）mV</w:t>
            </w:r>
          </w:p>
          <w:p w14:paraId="1B232E7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分辨率:   pH  0.01pH</w:t>
            </w:r>
          </w:p>
          <w:p w14:paraId="7FF31E9F">
            <w:pPr>
              <w:keepNext w:val="0"/>
              <w:keepLines w:val="0"/>
              <w:pageBreakBefore w:val="0"/>
              <w:kinsoku/>
              <w:overflowPunct/>
              <w:topLinePunct w:val="0"/>
              <w:bidi w:val="0"/>
              <w:snapToGrid/>
              <w:spacing w:after="0" w:line="440" w:lineRule="exact"/>
              <w:ind w:firstLine="1050" w:firstLineChars="5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mV  1mV</w:t>
            </w:r>
          </w:p>
          <w:p w14:paraId="398B287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基本误差: pH ±0.01pH</w:t>
            </w:r>
          </w:p>
          <w:p w14:paraId="3D392001">
            <w:pPr>
              <w:keepNext w:val="0"/>
              <w:keepLines w:val="0"/>
              <w:pageBreakBefore w:val="0"/>
              <w:kinsoku/>
              <w:overflowPunct/>
              <w:topLinePunct w:val="0"/>
              <w:bidi w:val="0"/>
              <w:snapToGrid/>
              <w:spacing w:after="0" w:line="440" w:lineRule="exact"/>
              <w:ind w:firstLine="1050" w:firstLineChars="5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mV ±0.1%FS</w:t>
            </w:r>
          </w:p>
          <w:p w14:paraId="7FDA67C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温度补偿：手动（0.0～60.0）℃</w:t>
            </w:r>
          </w:p>
          <w:p w14:paraId="30DF107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稳定性：（±0.01pH±1个字）/3h</w:t>
            </w:r>
          </w:p>
          <w:p w14:paraId="687EE1D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z w:val="21"/>
                <w:szCs w:val="21"/>
                <w:highlight w:val="none"/>
              </w:rPr>
              <w:t>电源：</w:t>
            </w:r>
            <w:r>
              <w:rPr>
                <w:rFonts w:hint="eastAsia" w:ascii="宋体" w:hAnsi="宋体" w:eastAsia="宋体" w:cs="宋体"/>
                <w:color w:val="auto"/>
                <w:sz w:val="21"/>
                <w:szCs w:val="21"/>
                <w:highlight w:val="none"/>
                <w:shd w:val="clear" w:color="auto" w:fill="FFFFFF"/>
              </w:rPr>
              <w:t>电源适配器（输入：AC100~240V，输出：DC9V）</w:t>
            </w:r>
          </w:p>
        </w:tc>
        <w:tc>
          <w:tcPr>
            <w:tcW w:w="594" w:type="dxa"/>
            <w:noWrap w:val="0"/>
            <w:vAlign w:val="center"/>
          </w:tcPr>
          <w:p w14:paraId="71B27696">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套</w:t>
            </w:r>
          </w:p>
        </w:tc>
        <w:tc>
          <w:tcPr>
            <w:tcW w:w="491" w:type="dxa"/>
            <w:noWrap w:val="0"/>
            <w:vAlign w:val="center"/>
          </w:tcPr>
          <w:p w14:paraId="022BBB1A">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b/>
                <w:bCs/>
                <w:color w:val="auto"/>
                <w:spacing w:val="-8"/>
                <w:sz w:val="21"/>
                <w:szCs w:val="21"/>
                <w:highlight w:val="none"/>
              </w:rPr>
            </w:pPr>
            <w:r>
              <w:rPr>
                <w:rFonts w:hint="eastAsia" w:ascii="宋体" w:hAnsi="宋体" w:eastAsia="宋体" w:cs="宋体"/>
                <w:color w:val="auto"/>
                <w:spacing w:val="-8"/>
                <w:sz w:val="21"/>
                <w:szCs w:val="21"/>
                <w:highlight w:val="none"/>
              </w:rPr>
              <w:t>10</w:t>
            </w:r>
          </w:p>
        </w:tc>
      </w:tr>
      <w:tr w14:paraId="4B63B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17FB4BDE">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b/>
                <w:bCs/>
                <w:color w:val="auto"/>
                <w:spacing w:val="-8"/>
                <w:sz w:val="21"/>
                <w:szCs w:val="21"/>
                <w:highlight w:val="none"/>
              </w:rPr>
            </w:pPr>
            <w:r>
              <w:rPr>
                <w:rFonts w:hint="eastAsia" w:ascii="宋体" w:hAnsi="宋体" w:eastAsia="宋体" w:cs="宋体"/>
                <w:b/>
                <w:bCs/>
                <w:color w:val="auto"/>
                <w:spacing w:val="-8"/>
                <w:sz w:val="21"/>
                <w:szCs w:val="21"/>
                <w:highlight w:val="none"/>
              </w:rPr>
              <w:t>5</w:t>
            </w:r>
          </w:p>
        </w:tc>
        <w:tc>
          <w:tcPr>
            <w:tcW w:w="1483" w:type="dxa"/>
            <w:noWrap w:val="0"/>
            <w:vAlign w:val="center"/>
          </w:tcPr>
          <w:p w14:paraId="23DE0D20">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电导率仪</w:t>
            </w:r>
          </w:p>
        </w:tc>
        <w:tc>
          <w:tcPr>
            <w:tcW w:w="5339" w:type="dxa"/>
            <w:noWrap/>
            <w:vAlign w:val="center"/>
          </w:tcPr>
          <w:p w14:paraId="5E99359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仪器级别: 1.5级</w:t>
            </w:r>
          </w:p>
          <w:p w14:paraId="55CE59A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测量参数: 电导率</w:t>
            </w:r>
          </w:p>
          <w:p w14:paraId="2D3E105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测量范围: （0.00～100.0）mS/cm</w:t>
            </w:r>
          </w:p>
          <w:p w14:paraId="58173FA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基本误差: ±1.5%(FS)</w:t>
            </w:r>
          </w:p>
          <w:p w14:paraId="448F68F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稳定性: ±1.0%(FS)/3h</w:t>
            </w:r>
          </w:p>
          <w:p w14:paraId="1C2DF47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手动温度补偿范围: （15～35）℃</w:t>
            </w:r>
          </w:p>
          <w:p w14:paraId="730556C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z w:val="21"/>
                <w:szCs w:val="21"/>
                <w:highlight w:val="none"/>
              </w:rPr>
              <w:t>供电电源: AC220V；50Hz</w:t>
            </w:r>
          </w:p>
        </w:tc>
        <w:tc>
          <w:tcPr>
            <w:tcW w:w="594" w:type="dxa"/>
            <w:noWrap w:val="0"/>
            <w:vAlign w:val="center"/>
          </w:tcPr>
          <w:p w14:paraId="5E956361">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台</w:t>
            </w:r>
          </w:p>
        </w:tc>
        <w:tc>
          <w:tcPr>
            <w:tcW w:w="491" w:type="dxa"/>
            <w:noWrap w:val="0"/>
            <w:vAlign w:val="center"/>
          </w:tcPr>
          <w:p w14:paraId="27CAFFDC">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10</w:t>
            </w:r>
          </w:p>
        </w:tc>
      </w:tr>
      <w:tr w14:paraId="3A56B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1F011095">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6</w:t>
            </w:r>
          </w:p>
        </w:tc>
        <w:tc>
          <w:tcPr>
            <w:tcW w:w="1483" w:type="dxa"/>
            <w:noWrap w:val="0"/>
            <w:vAlign w:val="center"/>
          </w:tcPr>
          <w:p w14:paraId="0FE8B309">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水浴锅</w:t>
            </w:r>
          </w:p>
        </w:tc>
        <w:tc>
          <w:tcPr>
            <w:tcW w:w="5339" w:type="dxa"/>
            <w:noWrap/>
            <w:vAlign w:val="top"/>
          </w:tcPr>
          <w:p w14:paraId="038CA61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单列四孔</w:t>
            </w:r>
          </w:p>
          <w:p w14:paraId="6CD0E1D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控温精度：RT+~100℃，</w:t>
            </w:r>
          </w:p>
          <w:p w14:paraId="3D63BEF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工作槽深度≥130mm，深度≥160mm</w:t>
            </w:r>
          </w:p>
          <w:p w14:paraId="2BE3322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显示方式LED</w:t>
            </w:r>
          </w:p>
          <w:p w14:paraId="3173F3B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加热功率≥1000W</w:t>
            </w:r>
          </w:p>
          <w:p w14:paraId="2DE27C3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控温精度：</w:t>
            </w:r>
            <w:r>
              <w:rPr>
                <w:rFonts w:hint="eastAsia" w:ascii="宋体" w:hAnsi="宋体" w:eastAsia="宋体" w:cs="宋体"/>
                <w:color w:val="auto"/>
                <w:sz w:val="21"/>
                <w:szCs w:val="21"/>
                <w:highlight w:val="none"/>
                <w:shd w:val="clear" w:color="auto" w:fill="FFFFFF"/>
              </w:rPr>
              <w:t>≤</w:t>
            </w:r>
            <w:r>
              <w:rPr>
                <w:rFonts w:hint="eastAsia" w:ascii="宋体" w:hAnsi="宋体" w:eastAsia="宋体" w:cs="宋体"/>
                <w:color w:val="auto"/>
                <w:sz w:val="21"/>
                <w:szCs w:val="21"/>
                <w:highlight w:val="none"/>
              </w:rPr>
              <w:t>1℃</w:t>
            </w:r>
          </w:p>
          <w:p w14:paraId="3B40298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材质：304不锈钢</w:t>
            </w:r>
          </w:p>
        </w:tc>
        <w:tc>
          <w:tcPr>
            <w:tcW w:w="594" w:type="dxa"/>
            <w:noWrap w:val="0"/>
            <w:vAlign w:val="center"/>
          </w:tcPr>
          <w:p w14:paraId="6E298CBC">
            <w:pPr>
              <w:keepNext w:val="0"/>
              <w:keepLines w:val="0"/>
              <w:pageBreakBefore w:val="0"/>
              <w:kinsoku/>
              <w:overflowPunct/>
              <w:topLinePunct w:val="0"/>
              <w:bidi w:val="0"/>
              <w:snapToGrid/>
              <w:spacing w:after="0"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套</w:t>
            </w:r>
          </w:p>
        </w:tc>
        <w:tc>
          <w:tcPr>
            <w:tcW w:w="491" w:type="dxa"/>
            <w:noWrap w:val="0"/>
            <w:vAlign w:val="center"/>
          </w:tcPr>
          <w:p w14:paraId="7B65E3A8">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10</w:t>
            </w:r>
          </w:p>
        </w:tc>
      </w:tr>
      <w:tr w14:paraId="2D176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308A6E89">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7</w:t>
            </w:r>
          </w:p>
        </w:tc>
        <w:tc>
          <w:tcPr>
            <w:tcW w:w="1483" w:type="dxa"/>
            <w:noWrap w:val="0"/>
            <w:vAlign w:val="center"/>
          </w:tcPr>
          <w:p w14:paraId="60AB141A">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玻璃气流烘干器</w:t>
            </w:r>
          </w:p>
        </w:tc>
        <w:tc>
          <w:tcPr>
            <w:tcW w:w="5339" w:type="dxa"/>
            <w:noWrap/>
            <w:vAlign w:val="top"/>
          </w:tcPr>
          <w:p w14:paraId="58DAFFF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材质：不锈钢</w:t>
            </w:r>
          </w:p>
          <w:p w14:paraId="044255E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功率：≥800w</w:t>
            </w:r>
          </w:p>
          <w:p w14:paraId="5E6D0BF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长度：≥200mm</w:t>
            </w:r>
          </w:p>
          <w:p w14:paraId="7E71F12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数量：≥12孔 </w:t>
            </w:r>
          </w:p>
          <w:p w14:paraId="700205F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控温范围：40-120℃</w:t>
            </w:r>
          </w:p>
          <w:p w14:paraId="1B843C8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控温精度：±5℃</w:t>
            </w:r>
          </w:p>
          <w:p w14:paraId="3C16A32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功率：≥80W</w:t>
            </w:r>
          </w:p>
          <w:p w14:paraId="51595B2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长度：≥180mm和≥200mm</w:t>
            </w:r>
          </w:p>
          <w:p w14:paraId="1C4A687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shd w:val="clear" w:color="auto" w:fill="FFFFFF"/>
              </w:rPr>
            </w:pPr>
            <w:r>
              <w:rPr>
                <w:rFonts w:hint="eastAsia" w:ascii="宋体" w:hAnsi="宋体" w:eastAsia="宋体" w:cs="宋体"/>
                <w:color w:val="auto"/>
                <w:sz w:val="21"/>
                <w:szCs w:val="21"/>
                <w:highlight w:val="none"/>
              </w:rPr>
              <w:t>加热：陶瓷炉盘</w:t>
            </w:r>
          </w:p>
        </w:tc>
        <w:tc>
          <w:tcPr>
            <w:tcW w:w="594" w:type="dxa"/>
            <w:noWrap w:val="0"/>
            <w:vAlign w:val="center"/>
          </w:tcPr>
          <w:p w14:paraId="5141FBB0">
            <w:pPr>
              <w:keepNext w:val="0"/>
              <w:keepLines w:val="0"/>
              <w:pageBreakBefore w:val="0"/>
              <w:kinsoku/>
              <w:overflowPunct/>
              <w:topLinePunct w:val="0"/>
              <w:bidi w:val="0"/>
              <w:snapToGrid/>
              <w:spacing w:after="0"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台</w:t>
            </w:r>
          </w:p>
        </w:tc>
        <w:tc>
          <w:tcPr>
            <w:tcW w:w="491" w:type="dxa"/>
            <w:noWrap w:val="0"/>
            <w:vAlign w:val="center"/>
          </w:tcPr>
          <w:p w14:paraId="6E81AA3F">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5</w:t>
            </w:r>
          </w:p>
        </w:tc>
      </w:tr>
      <w:tr w14:paraId="38C31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49438C54">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8</w:t>
            </w:r>
          </w:p>
        </w:tc>
        <w:tc>
          <w:tcPr>
            <w:tcW w:w="1483" w:type="dxa"/>
            <w:noWrap w:val="0"/>
            <w:vAlign w:val="center"/>
          </w:tcPr>
          <w:p w14:paraId="12CE6E99">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实验台</w:t>
            </w:r>
          </w:p>
        </w:tc>
        <w:tc>
          <w:tcPr>
            <w:tcW w:w="5339" w:type="dxa"/>
            <w:noWrap/>
            <w:vAlign w:val="top"/>
          </w:tcPr>
          <w:p w14:paraId="2352F667">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auto"/>
                <w:sz w:val="21"/>
                <w:szCs w:val="21"/>
                <w:highlight w:val="none"/>
                <w:lang w:bidi="ar"/>
              </w:rPr>
            </w:pPr>
            <w:r>
              <w:rPr>
                <w:rFonts w:hint="eastAsia" w:ascii="宋体" w:hAnsi="宋体" w:eastAsia="宋体" w:cs="宋体"/>
                <w:color w:val="auto"/>
                <w:kern w:val="0"/>
                <w:sz w:val="21"/>
                <w:szCs w:val="21"/>
                <w:highlight w:val="none"/>
                <w:lang w:bidi="ar"/>
              </w:rPr>
              <w:t>1.</w:t>
            </w:r>
            <w:r>
              <w:rPr>
                <w:rStyle w:val="68"/>
                <w:rFonts w:hint="eastAsia" w:ascii="宋体" w:hAnsi="宋体" w:eastAsia="宋体" w:cs="宋体"/>
                <w:color w:val="auto"/>
                <w:sz w:val="21"/>
                <w:szCs w:val="21"/>
                <w:highlight w:val="none"/>
                <w:lang w:bidi="ar"/>
              </w:rPr>
              <w:t>主框架：</w:t>
            </w:r>
          </w:p>
          <w:p w14:paraId="65B2FA7C">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auto"/>
                <w:sz w:val="21"/>
                <w:szCs w:val="21"/>
                <w:highlight w:val="none"/>
                <w:lang w:bidi="ar"/>
              </w:rPr>
            </w:pPr>
            <w:r>
              <w:rPr>
                <w:rStyle w:val="69"/>
                <w:rFonts w:hint="eastAsia" w:ascii="宋体" w:hAnsi="宋体" w:eastAsia="宋体" w:cs="宋体"/>
                <w:color w:val="auto"/>
                <w:sz w:val="21"/>
                <w:szCs w:val="21"/>
                <w:highlight w:val="none"/>
                <w:lang w:bidi="ar"/>
              </w:rPr>
              <w:t>1.1</w:t>
            </w:r>
            <w:r>
              <w:rPr>
                <w:rStyle w:val="68"/>
                <w:rFonts w:hint="eastAsia" w:ascii="宋体" w:hAnsi="宋体" w:eastAsia="宋体" w:cs="宋体"/>
                <w:color w:val="auto"/>
                <w:sz w:val="21"/>
                <w:szCs w:val="21"/>
                <w:highlight w:val="none"/>
                <w:lang w:bidi="ar"/>
              </w:rPr>
              <w:t>支撑架：采用</w:t>
            </w:r>
            <w:r>
              <w:rPr>
                <w:rStyle w:val="69"/>
                <w:rFonts w:hint="eastAsia" w:ascii="宋体" w:hAnsi="宋体" w:eastAsia="宋体" w:cs="宋体"/>
                <w:color w:val="auto"/>
                <w:sz w:val="21"/>
                <w:szCs w:val="21"/>
                <w:highlight w:val="none"/>
                <w:lang w:bidi="ar"/>
              </w:rPr>
              <w:t>C</w:t>
            </w:r>
            <w:r>
              <w:rPr>
                <w:rStyle w:val="68"/>
                <w:rFonts w:hint="eastAsia" w:ascii="宋体" w:hAnsi="宋体" w:eastAsia="宋体" w:cs="宋体"/>
                <w:color w:val="auto"/>
                <w:sz w:val="21"/>
                <w:szCs w:val="21"/>
                <w:highlight w:val="none"/>
                <w:lang w:bidi="ar"/>
              </w:rPr>
              <w:t>型优质</w:t>
            </w:r>
            <w:r>
              <w:rPr>
                <w:rStyle w:val="68"/>
                <w:rFonts w:hint="eastAsia" w:ascii="宋体" w:hAnsi="宋体" w:eastAsia="宋体" w:cs="宋体"/>
                <w:color w:val="auto"/>
                <w:sz w:val="21"/>
                <w:szCs w:val="21"/>
                <w:highlight w:val="none"/>
                <w:lang w:eastAsia="zh-CN" w:bidi="ar"/>
              </w:rPr>
              <w:t>冷轧</w:t>
            </w:r>
            <w:r>
              <w:rPr>
                <w:rStyle w:val="68"/>
                <w:rFonts w:hint="eastAsia" w:ascii="宋体" w:hAnsi="宋体" w:eastAsia="宋体" w:cs="宋体"/>
                <w:color w:val="auto"/>
                <w:sz w:val="21"/>
                <w:szCs w:val="21"/>
                <w:highlight w:val="none"/>
                <w:lang w:bidi="ar"/>
              </w:rPr>
              <w:t>钢管，与连接件连接的螺丝孔采用拉铆焊接工艺焊接，焊接后表面平整、无焊点痕迹，支撑架的连接螺丝全部采用国家标准内六角不锈钢螺丝连接，表面酸洗磷化处理后经环氧树脂静电粉末喷涂高温固化处理喷涂，耐酸碱及有机溶剂。</w:t>
            </w:r>
          </w:p>
          <w:p w14:paraId="1D92AAF2">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auto"/>
                <w:sz w:val="21"/>
                <w:szCs w:val="21"/>
                <w:highlight w:val="none"/>
                <w:lang w:bidi="ar"/>
              </w:rPr>
            </w:pPr>
            <w:r>
              <w:rPr>
                <w:rStyle w:val="69"/>
                <w:rFonts w:hint="eastAsia" w:ascii="宋体" w:hAnsi="宋体" w:eastAsia="宋体" w:cs="宋体"/>
                <w:color w:val="auto"/>
                <w:sz w:val="21"/>
                <w:szCs w:val="21"/>
                <w:highlight w:val="none"/>
                <w:lang w:bidi="ar"/>
              </w:rPr>
              <w:t>1.2</w:t>
            </w:r>
            <w:r>
              <w:rPr>
                <w:rStyle w:val="68"/>
                <w:rFonts w:hint="eastAsia" w:ascii="宋体" w:hAnsi="宋体" w:eastAsia="宋体" w:cs="宋体"/>
                <w:color w:val="auto"/>
                <w:sz w:val="21"/>
                <w:szCs w:val="21"/>
                <w:highlight w:val="none"/>
                <w:lang w:bidi="ar"/>
              </w:rPr>
              <w:t>横梁：采用优质</w:t>
            </w:r>
            <w:r>
              <w:rPr>
                <w:rFonts w:hint="eastAsia" w:ascii="宋体" w:hAnsi="宋体" w:eastAsia="宋体" w:cs="宋体"/>
                <w:color w:val="auto"/>
                <w:sz w:val="21"/>
                <w:szCs w:val="21"/>
                <w:highlight w:val="none"/>
              </w:rPr>
              <w:t>≥</w:t>
            </w:r>
            <w:r>
              <w:rPr>
                <w:rStyle w:val="69"/>
                <w:rFonts w:hint="eastAsia" w:ascii="宋体" w:hAnsi="宋体" w:eastAsia="宋体" w:cs="宋体"/>
                <w:color w:val="auto"/>
                <w:sz w:val="21"/>
                <w:szCs w:val="21"/>
                <w:highlight w:val="none"/>
                <w:lang w:bidi="ar"/>
              </w:rPr>
              <w:t>40×60×1.2mm</w:t>
            </w:r>
            <w:r>
              <w:rPr>
                <w:rStyle w:val="68"/>
                <w:rFonts w:hint="eastAsia" w:ascii="宋体" w:hAnsi="宋体" w:eastAsia="宋体" w:cs="宋体"/>
                <w:color w:val="auto"/>
                <w:sz w:val="21"/>
                <w:szCs w:val="21"/>
                <w:highlight w:val="none"/>
                <w:lang w:bidi="ar"/>
              </w:rPr>
              <w:t>厚优质</w:t>
            </w:r>
            <w:r>
              <w:rPr>
                <w:rStyle w:val="68"/>
                <w:rFonts w:hint="eastAsia" w:ascii="宋体" w:hAnsi="宋体" w:eastAsia="宋体" w:cs="宋体"/>
                <w:color w:val="auto"/>
                <w:sz w:val="21"/>
                <w:szCs w:val="21"/>
                <w:highlight w:val="none"/>
                <w:lang w:eastAsia="zh-CN" w:bidi="ar"/>
              </w:rPr>
              <w:t>冷轧</w:t>
            </w:r>
            <w:r>
              <w:rPr>
                <w:rStyle w:val="68"/>
                <w:rFonts w:hint="eastAsia" w:ascii="宋体" w:hAnsi="宋体" w:eastAsia="宋体" w:cs="宋体"/>
                <w:color w:val="auto"/>
                <w:sz w:val="21"/>
                <w:szCs w:val="21"/>
                <w:highlight w:val="none"/>
                <w:lang w:bidi="ar"/>
              </w:rPr>
              <w:t>钢管，与主框架连接，连接处采用不锈钢螺丝坚固，表面酸洗磷化处理后经环氧树脂静电粉末喷涂高温固化处理喷涂，耐酸碱及有机溶剂。</w:t>
            </w:r>
          </w:p>
          <w:p w14:paraId="7DE1770E">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auto"/>
                <w:sz w:val="21"/>
                <w:szCs w:val="21"/>
                <w:highlight w:val="none"/>
                <w:lang w:bidi="ar"/>
              </w:rPr>
            </w:pPr>
            <w:r>
              <w:rPr>
                <w:rStyle w:val="69"/>
                <w:rFonts w:hint="eastAsia" w:ascii="宋体" w:hAnsi="宋体" w:eastAsia="宋体" w:cs="宋体"/>
                <w:color w:val="auto"/>
                <w:sz w:val="21"/>
                <w:szCs w:val="21"/>
                <w:highlight w:val="none"/>
                <w:lang w:bidi="ar"/>
              </w:rPr>
              <w:t>1.3</w:t>
            </w:r>
            <w:r>
              <w:rPr>
                <w:rStyle w:val="68"/>
                <w:rFonts w:hint="eastAsia" w:ascii="宋体" w:hAnsi="宋体" w:eastAsia="宋体" w:cs="宋体"/>
                <w:color w:val="auto"/>
                <w:sz w:val="21"/>
                <w:szCs w:val="21"/>
                <w:highlight w:val="none"/>
                <w:lang w:bidi="ar"/>
              </w:rPr>
              <w:t>连接翼：采用</w:t>
            </w:r>
            <w:r>
              <w:rPr>
                <w:rFonts w:hint="eastAsia" w:ascii="宋体" w:hAnsi="宋体" w:eastAsia="宋体" w:cs="宋体"/>
                <w:color w:val="auto"/>
                <w:sz w:val="21"/>
                <w:szCs w:val="21"/>
                <w:highlight w:val="none"/>
              </w:rPr>
              <w:t>≥</w:t>
            </w:r>
            <w:r>
              <w:rPr>
                <w:rStyle w:val="69"/>
                <w:rFonts w:hint="eastAsia" w:ascii="宋体" w:hAnsi="宋体" w:eastAsia="宋体" w:cs="宋体"/>
                <w:color w:val="auto"/>
                <w:sz w:val="21"/>
                <w:szCs w:val="21"/>
                <w:highlight w:val="none"/>
                <w:lang w:bidi="ar"/>
              </w:rPr>
              <w:t>2mm</w:t>
            </w:r>
            <w:r>
              <w:rPr>
                <w:rStyle w:val="68"/>
                <w:rFonts w:hint="eastAsia" w:ascii="宋体" w:hAnsi="宋体" w:eastAsia="宋体" w:cs="宋体"/>
                <w:color w:val="auto"/>
                <w:sz w:val="21"/>
                <w:szCs w:val="21"/>
                <w:highlight w:val="none"/>
                <w:lang w:bidi="ar"/>
              </w:rPr>
              <w:t>厚钢板制作，表面酸洗磷化处理后经环氧树脂静电粉末喷涂高温固化处理喷涂，耐酸碱及有机溶剂。</w:t>
            </w:r>
          </w:p>
          <w:p w14:paraId="3A74FED2">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auto"/>
                <w:sz w:val="21"/>
                <w:szCs w:val="21"/>
                <w:highlight w:val="none"/>
                <w:lang w:bidi="ar"/>
              </w:rPr>
            </w:pPr>
            <w:r>
              <w:rPr>
                <w:rStyle w:val="69"/>
                <w:rFonts w:hint="eastAsia" w:ascii="宋体" w:hAnsi="宋体" w:eastAsia="宋体" w:cs="宋体"/>
                <w:color w:val="auto"/>
                <w:sz w:val="21"/>
                <w:szCs w:val="21"/>
                <w:highlight w:val="none"/>
                <w:lang w:bidi="ar"/>
              </w:rPr>
              <w:t>1.4</w:t>
            </w:r>
            <w:r>
              <w:rPr>
                <w:rStyle w:val="68"/>
                <w:rFonts w:hint="eastAsia" w:ascii="宋体" w:hAnsi="宋体" w:eastAsia="宋体" w:cs="宋体"/>
                <w:color w:val="auto"/>
                <w:sz w:val="21"/>
                <w:szCs w:val="21"/>
                <w:highlight w:val="none"/>
                <w:lang w:bidi="ar"/>
              </w:rPr>
              <w:t>金属材质要求酸洗、磷化、电泳处理，</w:t>
            </w:r>
            <w:r>
              <w:rPr>
                <w:rStyle w:val="69"/>
                <w:rFonts w:hint="eastAsia" w:ascii="宋体" w:hAnsi="宋体" w:eastAsia="宋体" w:cs="宋体"/>
                <w:color w:val="auto"/>
                <w:sz w:val="21"/>
                <w:szCs w:val="21"/>
                <w:highlight w:val="none"/>
                <w:lang w:bidi="ar"/>
              </w:rPr>
              <w:t>PVC</w:t>
            </w:r>
            <w:r>
              <w:rPr>
                <w:rStyle w:val="68"/>
                <w:rFonts w:hint="eastAsia" w:ascii="宋体" w:hAnsi="宋体" w:eastAsia="宋体" w:cs="宋体"/>
                <w:color w:val="auto"/>
                <w:sz w:val="21"/>
                <w:szCs w:val="21"/>
                <w:highlight w:val="none"/>
                <w:lang w:bidi="ar"/>
              </w:rPr>
              <w:t>模具件封口。</w:t>
            </w:r>
          </w:p>
          <w:p w14:paraId="596FDD98">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auto"/>
                <w:sz w:val="21"/>
                <w:szCs w:val="21"/>
                <w:highlight w:val="none"/>
                <w:lang w:bidi="ar"/>
              </w:rPr>
            </w:pPr>
            <w:r>
              <w:rPr>
                <w:rStyle w:val="69"/>
                <w:rFonts w:hint="eastAsia" w:ascii="宋体" w:hAnsi="宋体" w:eastAsia="宋体" w:cs="宋体"/>
                <w:color w:val="auto"/>
                <w:sz w:val="21"/>
                <w:szCs w:val="21"/>
                <w:highlight w:val="none"/>
                <w:lang w:bidi="ar"/>
              </w:rPr>
              <w:t xml:space="preserve">  2.</w:t>
            </w:r>
            <w:r>
              <w:rPr>
                <w:rStyle w:val="68"/>
                <w:rFonts w:hint="eastAsia" w:ascii="宋体" w:hAnsi="宋体" w:eastAsia="宋体" w:cs="宋体"/>
                <w:color w:val="auto"/>
                <w:sz w:val="21"/>
                <w:szCs w:val="21"/>
                <w:highlight w:val="none"/>
                <w:lang w:bidi="ar"/>
              </w:rPr>
              <w:t>柜体：</w:t>
            </w:r>
          </w:p>
          <w:p w14:paraId="5E5DEAA7">
            <w:pPr>
              <w:keepNext w:val="0"/>
              <w:keepLines w:val="0"/>
              <w:pageBreakBefore w:val="0"/>
              <w:kinsoku/>
              <w:overflowPunct/>
              <w:topLinePunct w:val="0"/>
              <w:bidi w:val="0"/>
              <w:snapToGrid/>
              <w:spacing w:after="0" w:line="440" w:lineRule="exact"/>
              <w:textAlignment w:val="auto"/>
              <w:rPr>
                <w:rStyle w:val="69"/>
                <w:rFonts w:hint="eastAsia" w:ascii="宋体" w:hAnsi="宋体" w:eastAsia="宋体" w:cs="宋体"/>
                <w:color w:val="auto"/>
                <w:sz w:val="21"/>
                <w:szCs w:val="21"/>
                <w:highlight w:val="none"/>
                <w:lang w:bidi="ar"/>
              </w:rPr>
            </w:pPr>
            <w:r>
              <w:rPr>
                <w:rStyle w:val="69"/>
                <w:rFonts w:hint="eastAsia" w:ascii="宋体" w:hAnsi="宋体" w:eastAsia="宋体" w:cs="宋体"/>
                <w:color w:val="auto"/>
                <w:sz w:val="21"/>
                <w:szCs w:val="21"/>
                <w:highlight w:val="none"/>
                <w:lang w:bidi="ar"/>
              </w:rPr>
              <w:t>2.1</w:t>
            </w:r>
            <w:r>
              <w:rPr>
                <w:rStyle w:val="68"/>
                <w:rFonts w:hint="eastAsia" w:ascii="宋体" w:hAnsi="宋体" w:eastAsia="宋体" w:cs="宋体"/>
                <w:color w:val="auto"/>
                <w:sz w:val="21"/>
                <w:szCs w:val="21"/>
                <w:highlight w:val="none"/>
                <w:lang w:bidi="ar"/>
              </w:rPr>
              <w:t>抽屉、柜门</w:t>
            </w:r>
            <w:r>
              <w:rPr>
                <w:rStyle w:val="69"/>
                <w:rFonts w:hint="eastAsia" w:ascii="宋体" w:hAnsi="宋体" w:eastAsia="宋体" w:cs="宋体"/>
                <w:color w:val="auto"/>
                <w:sz w:val="21"/>
                <w:szCs w:val="21"/>
                <w:highlight w:val="none"/>
                <w:lang w:bidi="ar"/>
              </w:rPr>
              <w:t xml:space="preserve"> 、</w:t>
            </w:r>
            <w:r>
              <w:rPr>
                <w:rStyle w:val="68"/>
                <w:rFonts w:hint="eastAsia" w:ascii="宋体" w:hAnsi="宋体" w:eastAsia="宋体" w:cs="宋体"/>
                <w:color w:val="auto"/>
                <w:sz w:val="21"/>
                <w:szCs w:val="21"/>
                <w:highlight w:val="none"/>
                <w:lang w:bidi="ar"/>
              </w:rPr>
              <w:t>面板：采用</w:t>
            </w:r>
            <w:r>
              <w:rPr>
                <w:rFonts w:hint="eastAsia" w:ascii="宋体" w:hAnsi="宋体" w:eastAsia="宋体" w:cs="宋体"/>
                <w:color w:val="auto"/>
                <w:sz w:val="21"/>
                <w:szCs w:val="21"/>
                <w:highlight w:val="none"/>
              </w:rPr>
              <w:t>≥</w:t>
            </w:r>
            <w:r>
              <w:rPr>
                <w:rStyle w:val="69"/>
                <w:rFonts w:hint="eastAsia" w:ascii="宋体" w:hAnsi="宋体" w:eastAsia="宋体" w:cs="宋体"/>
                <w:color w:val="auto"/>
                <w:sz w:val="21"/>
                <w:szCs w:val="21"/>
                <w:highlight w:val="none"/>
                <w:lang w:bidi="ar"/>
              </w:rPr>
              <w:t>18mm</w:t>
            </w:r>
            <w:r>
              <w:rPr>
                <w:rStyle w:val="68"/>
                <w:rFonts w:hint="eastAsia" w:ascii="宋体" w:hAnsi="宋体" w:eastAsia="宋体" w:cs="宋体"/>
                <w:color w:val="auto"/>
                <w:sz w:val="21"/>
                <w:szCs w:val="21"/>
                <w:highlight w:val="none"/>
                <w:lang w:bidi="ar"/>
              </w:rPr>
              <w:t>厚优质三聚氰胺板，采用优质</w:t>
            </w:r>
            <w:r>
              <w:rPr>
                <w:rStyle w:val="69"/>
                <w:rFonts w:hint="eastAsia" w:ascii="宋体" w:hAnsi="宋体" w:eastAsia="宋体" w:cs="宋体"/>
                <w:color w:val="auto"/>
                <w:sz w:val="21"/>
                <w:szCs w:val="21"/>
                <w:highlight w:val="none"/>
                <w:lang w:bidi="ar"/>
              </w:rPr>
              <w:t>2.0mmPVC</w:t>
            </w:r>
            <w:r>
              <w:rPr>
                <w:rStyle w:val="68"/>
                <w:rFonts w:hint="eastAsia" w:ascii="宋体" w:hAnsi="宋体" w:eastAsia="宋体" w:cs="宋体"/>
                <w:color w:val="auto"/>
                <w:sz w:val="21"/>
                <w:szCs w:val="21"/>
                <w:highlight w:val="none"/>
                <w:lang w:bidi="ar"/>
              </w:rPr>
              <w:t>材料整体封边。</w:t>
            </w:r>
            <w:r>
              <w:rPr>
                <w:rStyle w:val="69"/>
                <w:rFonts w:hint="eastAsia" w:ascii="宋体" w:hAnsi="宋体" w:eastAsia="宋体" w:cs="宋体"/>
                <w:color w:val="auto"/>
                <w:sz w:val="21"/>
                <w:szCs w:val="21"/>
                <w:highlight w:val="none"/>
                <w:lang w:bidi="ar"/>
              </w:rPr>
              <w:t xml:space="preserve"> </w:t>
            </w:r>
          </w:p>
          <w:p w14:paraId="73A725BD">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auto"/>
                <w:sz w:val="21"/>
                <w:szCs w:val="21"/>
                <w:highlight w:val="none"/>
                <w:lang w:bidi="ar"/>
              </w:rPr>
            </w:pPr>
            <w:r>
              <w:rPr>
                <w:rStyle w:val="69"/>
                <w:rFonts w:hint="eastAsia" w:ascii="宋体" w:hAnsi="宋体" w:eastAsia="宋体" w:cs="宋体"/>
                <w:color w:val="auto"/>
                <w:sz w:val="21"/>
                <w:szCs w:val="21"/>
                <w:highlight w:val="none"/>
                <w:lang w:bidi="ar"/>
              </w:rPr>
              <w:t>2.2</w:t>
            </w:r>
            <w:r>
              <w:rPr>
                <w:rStyle w:val="68"/>
                <w:rFonts w:hint="eastAsia" w:ascii="宋体" w:hAnsi="宋体" w:eastAsia="宋体" w:cs="宋体"/>
                <w:color w:val="auto"/>
                <w:sz w:val="21"/>
                <w:szCs w:val="21"/>
                <w:highlight w:val="none"/>
                <w:lang w:bidi="ar"/>
              </w:rPr>
              <w:t>箱体：箱体采用</w:t>
            </w:r>
            <w:r>
              <w:rPr>
                <w:rFonts w:hint="eastAsia" w:ascii="宋体" w:hAnsi="宋体" w:eastAsia="宋体" w:cs="宋体"/>
                <w:color w:val="auto"/>
                <w:sz w:val="21"/>
                <w:szCs w:val="21"/>
                <w:highlight w:val="none"/>
              </w:rPr>
              <w:t>≥</w:t>
            </w:r>
            <w:r>
              <w:rPr>
                <w:rStyle w:val="69"/>
                <w:rFonts w:hint="eastAsia" w:ascii="宋体" w:hAnsi="宋体" w:eastAsia="宋体" w:cs="宋体"/>
                <w:color w:val="auto"/>
                <w:sz w:val="21"/>
                <w:szCs w:val="21"/>
                <w:highlight w:val="none"/>
                <w:lang w:bidi="ar"/>
              </w:rPr>
              <w:t>18mm</w:t>
            </w:r>
            <w:r>
              <w:rPr>
                <w:rStyle w:val="68"/>
                <w:rFonts w:hint="eastAsia" w:ascii="宋体" w:hAnsi="宋体" w:eastAsia="宋体" w:cs="宋体"/>
                <w:color w:val="auto"/>
                <w:sz w:val="21"/>
                <w:szCs w:val="21"/>
                <w:highlight w:val="none"/>
                <w:lang w:bidi="ar"/>
              </w:rPr>
              <w:t>双面灰白色三聚氰胺板，四周边采用</w:t>
            </w:r>
            <w:r>
              <w:rPr>
                <w:rFonts w:hint="eastAsia" w:ascii="宋体" w:hAnsi="宋体" w:eastAsia="宋体" w:cs="宋体"/>
                <w:color w:val="auto"/>
                <w:sz w:val="21"/>
                <w:szCs w:val="21"/>
                <w:highlight w:val="none"/>
              </w:rPr>
              <w:t>≥</w:t>
            </w:r>
            <w:r>
              <w:rPr>
                <w:rStyle w:val="69"/>
                <w:rFonts w:hint="eastAsia" w:ascii="宋体" w:hAnsi="宋体" w:eastAsia="宋体" w:cs="宋体"/>
                <w:color w:val="auto"/>
                <w:sz w:val="21"/>
                <w:szCs w:val="21"/>
                <w:highlight w:val="none"/>
                <w:lang w:bidi="ar"/>
              </w:rPr>
              <w:t>2.0mm</w:t>
            </w:r>
            <w:r>
              <w:rPr>
                <w:rStyle w:val="68"/>
                <w:rFonts w:hint="eastAsia" w:ascii="宋体" w:hAnsi="宋体" w:eastAsia="宋体" w:cs="宋体"/>
                <w:color w:val="auto"/>
                <w:sz w:val="21"/>
                <w:szCs w:val="21"/>
                <w:highlight w:val="none"/>
                <w:lang w:bidi="ar"/>
              </w:rPr>
              <w:t>厚优质</w:t>
            </w:r>
            <w:r>
              <w:rPr>
                <w:rStyle w:val="69"/>
                <w:rFonts w:hint="eastAsia" w:ascii="宋体" w:hAnsi="宋体" w:eastAsia="宋体" w:cs="宋体"/>
                <w:color w:val="auto"/>
                <w:sz w:val="21"/>
                <w:szCs w:val="21"/>
                <w:highlight w:val="none"/>
                <w:lang w:bidi="ar"/>
              </w:rPr>
              <w:t>PVC</w:t>
            </w:r>
            <w:r>
              <w:rPr>
                <w:rStyle w:val="68"/>
                <w:rFonts w:hint="eastAsia" w:ascii="宋体" w:hAnsi="宋体" w:eastAsia="宋体" w:cs="宋体"/>
                <w:color w:val="auto"/>
                <w:sz w:val="21"/>
                <w:szCs w:val="21"/>
                <w:highlight w:val="none"/>
                <w:lang w:bidi="ar"/>
              </w:rPr>
              <w:t>封边及防水处理，所有板件采用拆装式三合一连接；</w:t>
            </w:r>
            <w:r>
              <w:rPr>
                <w:rStyle w:val="69"/>
                <w:rFonts w:hint="eastAsia" w:ascii="宋体" w:hAnsi="宋体" w:eastAsia="宋体" w:cs="宋体"/>
                <w:color w:val="auto"/>
                <w:sz w:val="21"/>
                <w:szCs w:val="21"/>
                <w:highlight w:val="none"/>
                <w:lang w:bidi="ar"/>
              </w:rPr>
              <w:t xml:space="preserve"> </w:t>
            </w:r>
            <w:r>
              <w:rPr>
                <w:rStyle w:val="68"/>
                <w:rFonts w:hint="eastAsia" w:ascii="宋体" w:hAnsi="宋体" w:eastAsia="宋体" w:cs="宋体"/>
                <w:color w:val="auto"/>
                <w:sz w:val="21"/>
                <w:szCs w:val="21"/>
                <w:highlight w:val="none"/>
                <w:lang w:bidi="ar"/>
              </w:rPr>
              <w:t>颜色为宝石蓝。</w:t>
            </w:r>
          </w:p>
          <w:p w14:paraId="2DF93B25">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auto"/>
                <w:sz w:val="21"/>
                <w:szCs w:val="21"/>
                <w:highlight w:val="none"/>
                <w:lang w:bidi="ar"/>
              </w:rPr>
            </w:pPr>
            <w:r>
              <w:rPr>
                <w:rStyle w:val="69"/>
                <w:rFonts w:hint="eastAsia" w:ascii="宋体" w:hAnsi="宋体" w:eastAsia="宋体" w:cs="宋体"/>
                <w:color w:val="auto"/>
                <w:sz w:val="21"/>
                <w:szCs w:val="21"/>
                <w:highlight w:val="none"/>
                <w:lang w:bidi="ar"/>
              </w:rPr>
              <w:t>2.3</w:t>
            </w:r>
            <w:r>
              <w:rPr>
                <w:rStyle w:val="68"/>
                <w:rFonts w:hint="eastAsia" w:ascii="宋体" w:hAnsi="宋体" w:eastAsia="宋体" w:cs="宋体"/>
                <w:color w:val="auto"/>
                <w:sz w:val="21"/>
                <w:szCs w:val="21"/>
                <w:highlight w:val="none"/>
                <w:lang w:bidi="ar"/>
              </w:rPr>
              <w:t>拉手：采用明装拉手。</w:t>
            </w:r>
          </w:p>
          <w:p w14:paraId="2D53774A">
            <w:pPr>
              <w:keepNext w:val="0"/>
              <w:keepLines w:val="0"/>
              <w:pageBreakBefore w:val="0"/>
              <w:kinsoku/>
              <w:overflowPunct/>
              <w:topLinePunct w:val="0"/>
              <w:bidi w:val="0"/>
              <w:snapToGrid/>
              <w:spacing w:after="0" w:line="440" w:lineRule="exact"/>
              <w:textAlignment w:val="auto"/>
              <w:rPr>
                <w:rStyle w:val="69"/>
                <w:rFonts w:hint="eastAsia" w:ascii="宋体" w:hAnsi="宋体" w:eastAsia="宋体" w:cs="宋体"/>
                <w:color w:val="auto"/>
                <w:sz w:val="21"/>
                <w:szCs w:val="21"/>
                <w:highlight w:val="none"/>
                <w:lang w:bidi="ar"/>
              </w:rPr>
            </w:pPr>
            <w:r>
              <w:rPr>
                <w:rStyle w:val="69"/>
                <w:rFonts w:hint="eastAsia" w:ascii="宋体" w:hAnsi="宋体" w:eastAsia="宋体" w:cs="宋体"/>
                <w:color w:val="auto"/>
                <w:sz w:val="21"/>
                <w:szCs w:val="21"/>
                <w:highlight w:val="none"/>
                <w:lang w:bidi="ar"/>
              </w:rPr>
              <w:t>2.4</w:t>
            </w:r>
            <w:r>
              <w:rPr>
                <w:rStyle w:val="68"/>
                <w:rFonts w:hint="eastAsia" w:ascii="宋体" w:hAnsi="宋体" w:eastAsia="宋体" w:cs="宋体"/>
                <w:color w:val="auto"/>
                <w:sz w:val="21"/>
                <w:szCs w:val="21"/>
                <w:highlight w:val="none"/>
                <w:lang w:bidi="ar"/>
              </w:rPr>
              <w:t>导轨；采用三节静音阻尼轨道，具备较好的承重能力。</w:t>
            </w:r>
            <w:r>
              <w:rPr>
                <w:rStyle w:val="69"/>
                <w:rFonts w:hint="eastAsia" w:ascii="宋体" w:hAnsi="宋体" w:eastAsia="宋体" w:cs="宋体"/>
                <w:color w:val="auto"/>
                <w:sz w:val="21"/>
                <w:szCs w:val="21"/>
                <w:highlight w:val="none"/>
                <w:lang w:bidi="ar"/>
              </w:rPr>
              <w:t xml:space="preserve"> </w:t>
            </w:r>
          </w:p>
          <w:p w14:paraId="152F670A">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auto"/>
                <w:sz w:val="21"/>
                <w:szCs w:val="21"/>
                <w:highlight w:val="none"/>
                <w:lang w:bidi="ar"/>
              </w:rPr>
            </w:pPr>
            <w:r>
              <w:rPr>
                <w:rStyle w:val="69"/>
                <w:rFonts w:hint="eastAsia" w:ascii="宋体" w:hAnsi="宋体" w:eastAsia="宋体" w:cs="宋体"/>
                <w:color w:val="auto"/>
                <w:sz w:val="21"/>
                <w:szCs w:val="21"/>
                <w:highlight w:val="none"/>
                <w:lang w:bidi="ar"/>
              </w:rPr>
              <w:t>2.5</w:t>
            </w:r>
            <w:r>
              <w:rPr>
                <w:rStyle w:val="68"/>
                <w:rFonts w:hint="eastAsia" w:ascii="宋体" w:hAnsi="宋体" w:eastAsia="宋体" w:cs="宋体"/>
                <w:color w:val="auto"/>
                <w:sz w:val="21"/>
                <w:szCs w:val="21"/>
                <w:highlight w:val="none"/>
                <w:lang w:bidi="ar"/>
              </w:rPr>
              <w:t>缓冲铰链：可拆除，非焊接结构，螺丝连接，开启角度</w:t>
            </w:r>
            <w:r>
              <w:rPr>
                <w:rStyle w:val="69"/>
                <w:rFonts w:hint="eastAsia" w:ascii="宋体" w:hAnsi="宋体" w:eastAsia="宋体" w:cs="宋体"/>
                <w:color w:val="auto"/>
                <w:sz w:val="21"/>
                <w:szCs w:val="21"/>
                <w:highlight w:val="none"/>
                <w:lang w:bidi="ar"/>
              </w:rPr>
              <w:t>90</w:t>
            </w:r>
            <w:r>
              <w:rPr>
                <w:rStyle w:val="70"/>
                <w:rFonts w:hint="eastAsia" w:ascii="宋体" w:hAnsi="宋体" w:eastAsia="宋体" w:cs="宋体"/>
                <w:color w:val="auto"/>
                <w:sz w:val="21"/>
                <w:szCs w:val="21"/>
                <w:highlight w:val="none"/>
                <w:lang w:bidi="ar"/>
              </w:rPr>
              <w:t>゜</w:t>
            </w:r>
            <w:r>
              <w:rPr>
                <w:rStyle w:val="68"/>
                <w:rFonts w:hint="eastAsia" w:ascii="宋体" w:hAnsi="宋体" w:eastAsia="宋体" w:cs="宋体"/>
                <w:color w:val="auto"/>
                <w:sz w:val="21"/>
                <w:szCs w:val="21"/>
                <w:highlight w:val="none"/>
                <w:lang w:bidi="ar"/>
              </w:rPr>
              <w:t>。</w:t>
            </w:r>
          </w:p>
          <w:p w14:paraId="26FF0FA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Style w:val="69"/>
                <w:rFonts w:hint="eastAsia" w:ascii="宋体" w:hAnsi="宋体" w:eastAsia="宋体" w:cs="宋体"/>
                <w:color w:val="auto"/>
                <w:sz w:val="21"/>
                <w:szCs w:val="21"/>
                <w:highlight w:val="none"/>
                <w:lang w:bidi="ar"/>
              </w:rPr>
              <w:t>2.6</w:t>
            </w:r>
            <w:r>
              <w:rPr>
                <w:rStyle w:val="68"/>
                <w:rFonts w:hint="eastAsia" w:ascii="宋体" w:hAnsi="宋体" w:eastAsia="宋体" w:cs="宋体"/>
                <w:color w:val="auto"/>
                <w:sz w:val="21"/>
                <w:szCs w:val="21"/>
                <w:highlight w:val="none"/>
                <w:lang w:bidi="ar"/>
              </w:rPr>
              <w:t>可调脚：采用不低于</w:t>
            </w:r>
            <w:r>
              <w:rPr>
                <w:rStyle w:val="69"/>
                <w:rFonts w:hint="eastAsia" w:ascii="宋体" w:hAnsi="宋体" w:eastAsia="宋体" w:cs="宋体"/>
                <w:color w:val="auto"/>
                <w:sz w:val="21"/>
                <w:szCs w:val="21"/>
                <w:highlight w:val="none"/>
                <w:lang w:bidi="ar"/>
              </w:rPr>
              <w:t>M12</w:t>
            </w:r>
            <w:r>
              <w:rPr>
                <w:rStyle w:val="68"/>
                <w:rFonts w:hint="eastAsia" w:ascii="宋体" w:hAnsi="宋体" w:eastAsia="宋体" w:cs="宋体"/>
                <w:color w:val="auto"/>
                <w:sz w:val="21"/>
                <w:szCs w:val="21"/>
                <w:highlight w:val="none"/>
                <w:lang w:bidi="ar"/>
              </w:rPr>
              <w:t>不锈钢橡胶材质制成。可根据室内地坪适当调整柜体高度</w:t>
            </w:r>
            <w:r>
              <w:rPr>
                <w:rStyle w:val="69"/>
                <w:rFonts w:hint="eastAsia" w:ascii="宋体" w:hAnsi="宋体" w:eastAsia="宋体" w:cs="宋体"/>
                <w:color w:val="auto"/>
                <w:sz w:val="21"/>
                <w:szCs w:val="21"/>
                <w:highlight w:val="none"/>
                <w:lang w:bidi="ar"/>
              </w:rPr>
              <w:t>0-40mm</w:t>
            </w:r>
            <w:r>
              <w:rPr>
                <w:rStyle w:val="68"/>
                <w:rFonts w:hint="eastAsia" w:ascii="宋体" w:hAnsi="宋体" w:eastAsia="宋体" w:cs="宋体"/>
                <w:color w:val="auto"/>
                <w:sz w:val="21"/>
                <w:szCs w:val="21"/>
                <w:highlight w:val="none"/>
                <w:lang w:bidi="ar"/>
              </w:rPr>
              <w:t>。</w:t>
            </w:r>
          </w:p>
        </w:tc>
        <w:tc>
          <w:tcPr>
            <w:tcW w:w="594" w:type="dxa"/>
            <w:noWrap w:val="0"/>
            <w:vAlign w:val="center"/>
          </w:tcPr>
          <w:p w14:paraId="241B9841">
            <w:pPr>
              <w:keepNext w:val="0"/>
              <w:keepLines w:val="0"/>
              <w:pageBreakBefore w:val="0"/>
              <w:kinsoku/>
              <w:overflowPunct/>
              <w:topLinePunct w:val="0"/>
              <w:bidi w:val="0"/>
              <w:snapToGrid/>
              <w:spacing w:after="0"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台</w:t>
            </w:r>
          </w:p>
        </w:tc>
        <w:tc>
          <w:tcPr>
            <w:tcW w:w="491" w:type="dxa"/>
            <w:noWrap w:val="0"/>
            <w:vAlign w:val="center"/>
          </w:tcPr>
          <w:p w14:paraId="385CA0E3">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5</w:t>
            </w:r>
          </w:p>
        </w:tc>
      </w:tr>
      <w:tr w14:paraId="10652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49BF161A">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9</w:t>
            </w:r>
          </w:p>
        </w:tc>
        <w:tc>
          <w:tcPr>
            <w:tcW w:w="1483" w:type="dxa"/>
            <w:noWrap w:val="0"/>
            <w:vAlign w:val="center"/>
          </w:tcPr>
          <w:p w14:paraId="1B182797">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托盘天平1</w:t>
            </w:r>
          </w:p>
        </w:tc>
        <w:tc>
          <w:tcPr>
            <w:tcW w:w="5339" w:type="dxa"/>
            <w:noWrap/>
            <w:vAlign w:val="top"/>
          </w:tcPr>
          <w:p w14:paraId="3462307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耐腐蚀，精度高，500g, 0.5g</w:t>
            </w:r>
          </w:p>
        </w:tc>
        <w:tc>
          <w:tcPr>
            <w:tcW w:w="594" w:type="dxa"/>
            <w:noWrap w:val="0"/>
            <w:vAlign w:val="center"/>
          </w:tcPr>
          <w:p w14:paraId="5D3C4AFC">
            <w:pPr>
              <w:keepNext w:val="0"/>
              <w:keepLines w:val="0"/>
              <w:pageBreakBefore w:val="0"/>
              <w:kinsoku/>
              <w:overflowPunct/>
              <w:topLinePunct w:val="0"/>
              <w:bidi w:val="0"/>
              <w:snapToGrid/>
              <w:spacing w:after="0"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台</w:t>
            </w:r>
          </w:p>
        </w:tc>
        <w:tc>
          <w:tcPr>
            <w:tcW w:w="491" w:type="dxa"/>
            <w:noWrap w:val="0"/>
            <w:vAlign w:val="center"/>
          </w:tcPr>
          <w:p w14:paraId="4B2B2984">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5</w:t>
            </w:r>
          </w:p>
        </w:tc>
      </w:tr>
      <w:tr w14:paraId="43572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149BEF74">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10</w:t>
            </w:r>
          </w:p>
        </w:tc>
        <w:tc>
          <w:tcPr>
            <w:tcW w:w="1483" w:type="dxa"/>
            <w:noWrap w:val="0"/>
            <w:vAlign w:val="center"/>
          </w:tcPr>
          <w:p w14:paraId="6DECFB59">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托盘天平2</w:t>
            </w:r>
          </w:p>
        </w:tc>
        <w:tc>
          <w:tcPr>
            <w:tcW w:w="5339" w:type="dxa"/>
            <w:noWrap/>
            <w:vAlign w:val="top"/>
          </w:tcPr>
          <w:p w14:paraId="4749A40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耐腐蚀，精度高，100g, 0.1g</w:t>
            </w:r>
          </w:p>
        </w:tc>
        <w:tc>
          <w:tcPr>
            <w:tcW w:w="594" w:type="dxa"/>
            <w:noWrap w:val="0"/>
            <w:vAlign w:val="center"/>
          </w:tcPr>
          <w:p w14:paraId="104BA805">
            <w:pPr>
              <w:keepNext w:val="0"/>
              <w:keepLines w:val="0"/>
              <w:pageBreakBefore w:val="0"/>
              <w:kinsoku/>
              <w:overflowPunct/>
              <w:topLinePunct w:val="0"/>
              <w:bidi w:val="0"/>
              <w:snapToGrid/>
              <w:spacing w:after="0"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台</w:t>
            </w:r>
          </w:p>
        </w:tc>
        <w:tc>
          <w:tcPr>
            <w:tcW w:w="491" w:type="dxa"/>
            <w:noWrap w:val="0"/>
            <w:vAlign w:val="center"/>
          </w:tcPr>
          <w:p w14:paraId="12118411">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5</w:t>
            </w:r>
          </w:p>
        </w:tc>
      </w:tr>
      <w:tr w14:paraId="189D9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0C3E7186">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11</w:t>
            </w:r>
          </w:p>
        </w:tc>
        <w:tc>
          <w:tcPr>
            <w:tcW w:w="1483" w:type="dxa"/>
            <w:noWrap w:val="0"/>
            <w:vAlign w:val="center"/>
          </w:tcPr>
          <w:p w14:paraId="0F077106">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滴定管</w:t>
            </w:r>
          </w:p>
        </w:tc>
        <w:tc>
          <w:tcPr>
            <w:tcW w:w="5339" w:type="dxa"/>
            <w:noWrap/>
            <w:vAlign w:val="top"/>
          </w:tcPr>
          <w:p w14:paraId="671FC97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酸式 50mL</w:t>
            </w:r>
          </w:p>
        </w:tc>
        <w:tc>
          <w:tcPr>
            <w:tcW w:w="594" w:type="dxa"/>
            <w:noWrap w:val="0"/>
            <w:vAlign w:val="center"/>
          </w:tcPr>
          <w:p w14:paraId="3084F06D">
            <w:pPr>
              <w:keepNext w:val="0"/>
              <w:keepLines w:val="0"/>
              <w:pageBreakBefore w:val="0"/>
              <w:kinsoku/>
              <w:overflowPunct/>
              <w:topLinePunct w:val="0"/>
              <w:bidi w:val="0"/>
              <w:snapToGrid/>
              <w:spacing w:after="0"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个</w:t>
            </w:r>
          </w:p>
        </w:tc>
        <w:tc>
          <w:tcPr>
            <w:tcW w:w="491" w:type="dxa"/>
            <w:noWrap w:val="0"/>
            <w:vAlign w:val="center"/>
          </w:tcPr>
          <w:p w14:paraId="32966ACC">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20</w:t>
            </w:r>
          </w:p>
        </w:tc>
      </w:tr>
      <w:tr w14:paraId="373F9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1D6B3F8E">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12</w:t>
            </w:r>
          </w:p>
        </w:tc>
        <w:tc>
          <w:tcPr>
            <w:tcW w:w="1483" w:type="dxa"/>
            <w:noWrap w:val="0"/>
            <w:vAlign w:val="center"/>
          </w:tcPr>
          <w:p w14:paraId="5474E87B">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滴定管</w:t>
            </w:r>
          </w:p>
        </w:tc>
        <w:tc>
          <w:tcPr>
            <w:tcW w:w="5339" w:type="dxa"/>
            <w:noWrap/>
            <w:vAlign w:val="top"/>
          </w:tcPr>
          <w:p w14:paraId="67DF5E7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碱式 50mL</w:t>
            </w:r>
          </w:p>
        </w:tc>
        <w:tc>
          <w:tcPr>
            <w:tcW w:w="594" w:type="dxa"/>
            <w:noWrap w:val="0"/>
            <w:vAlign w:val="center"/>
          </w:tcPr>
          <w:p w14:paraId="6E8AF25E">
            <w:pPr>
              <w:keepNext w:val="0"/>
              <w:keepLines w:val="0"/>
              <w:pageBreakBefore w:val="0"/>
              <w:kinsoku/>
              <w:overflowPunct/>
              <w:topLinePunct w:val="0"/>
              <w:bidi w:val="0"/>
              <w:snapToGrid/>
              <w:spacing w:after="0"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个</w:t>
            </w:r>
          </w:p>
        </w:tc>
        <w:tc>
          <w:tcPr>
            <w:tcW w:w="491" w:type="dxa"/>
            <w:noWrap w:val="0"/>
            <w:vAlign w:val="center"/>
          </w:tcPr>
          <w:p w14:paraId="54D6658D">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20</w:t>
            </w:r>
          </w:p>
        </w:tc>
      </w:tr>
      <w:tr w14:paraId="3E080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122F0520">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13</w:t>
            </w:r>
          </w:p>
        </w:tc>
        <w:tc>
          <w:tcPr>
            <w:tcW w:w="1483" w:type="dxa"/>
            <w:noWrap w:val="0"/>
            <w:vAlign w:val="center"/>
          </w:tcPr>
          <w:p w14:paraId="3274AD89">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塑料洗瓶</w:t>
            </w:r>
          </w:p>
        </w:tc>
        <w:tc>
          <w:tcPr>
            <w:tcW w:w="5339" w:type="dxa"/>
            <w:noWrap/>
            <w:vAlign w:val="top"/>
          </w:tcPr>
          <w:p w14:paraId="17CAE3B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塑料 500mL</w:t>
            </w:r>
          </w:p>
        </w:tc>
        <w:tc>
          <w:tcPr>
            <w:tcW w:w="594" w:type="dxa"/>
            <w:noWrap w:val="0"/>
            <w:vAlign w:val="center"/>
          </w:tcPr>
          <w:p w14:paraId="35A27285">
            <w:pPr>
              <w:keepNext w:val="0"/>
              <w:keepLines w:val="0"/>
              <w:pageBreakBefore w:val="0"/>
              <w:kinsoku/>
              <w:overflowPunct/>
              <w:topLinePunct w:val="0"/>
              <w:bidi w:val="0"/>
              <w:snapToGrid/>
              <w:spacing w:after="0"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个</w:t>
            </w:r>
          </w:p>
        </w:tc>
        <w:tc>
          <w:tcPr>
            <w:tcW w:w="491" w:type="dxa"/>
            <w:noWrap w:val="0"/>
            <w:vAlign w:val="center"/>
          </w:tcPr>
          <w:p w14:paraId="6B4CE3F8">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20</w:t>
            </w:r>
          </w:p>
        </w:tc>
      </w:tr>
      <w:tr w14:paraId="16484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6C40C6F6">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14</w:t>
            </w:r>
          </w:p>
        </w:tc>
        <w:tc>
          <w:tcPr>
            <w:tcW w:w="1483" w:type="dxa"/>
            <w:noWrap w:val="0"/>
            <w:vAlign w:val="center"/>
          </w:tcPr>
          <w:p w14:paraId="483EBE4E">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大理石滴定台+滴定夹</w:t>
            </w:r>
          </w:p>
        </w:tc>
        <w:tc>
          <w:tcPr>
            <w:tcW w:w="5339" w:type="dxa"/>
            <w:noWrap/>
            <w:vAlign w:val="top"/>
          </w:tcPr>
          <w:p w14:paraId="61FCA76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材质：大理石，金属，塑料</w:t>
            </w:r>
          </w:p>
          <w:p w14:paraId="0CA71F4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产品组成：底座，竖杆，滴定夹</w:t>
            </w:r>
          </w:p>
          <w:p w14:paraId="1E2A9D3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底座：14cm*28cm</w:t>
            </w:r>
          </w:p>
          <w:p w14:paraId="1A0262F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竖杆：70cm/60cm</w:t>
            </w:r>
          </w:p>
        </w:tc>
        <w:tc>
          <w:tcPr>
            <w:tcW w:w="594" w:type="dxa"/>
            <w:noWrap w:val="0"/>
            <w:vAlign w:val="center"/>
          </w:tcPr>
          <w:p w14:paraId="1FEC135C">
            <w:pPr>
              <w:keepNext w:val="0"/>
              <w:keepLines w:val="0"/>
              <w:pageBreakBefore w:val="0"/>
              <w:kinsoku/>
              <w:overflowPunct/>
              <w:topLinePunct w:val="0"/>
              <w:bidi w:val="0"/>
              <w:snapToGrid/>
              <w:spacing w:after="0"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套</w:t>
            </w:r>
          </w:p>
        </w:tc>
        <w:tc>
          <w:tcPr>
            <w:tcW w:w="491" w:type="dxa"/>
            <w:noWrap w:val="0"/>
            <w:vAlign w:val="center"/>
          </w:tcPr>
          <w:p w14:paraId="52C3B384">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10</w:t>
            </w:r>
          </w:p>
        </w:tc>
      </w:tr>
      <w:tr w14:paraId="5BB4E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03F5E0CC">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15</w:t>
            </w:r>
          </w:p>
        </w:tc>
        <w:tc>
          <w:tcPr>
            <w:tcW w:w="1483" w:type="dxa"/>
            <w:noWrap w:val="0"/>
            <w:vAlign w:val="center"/>
          </w:tcPr>
          <w:p w14:paraId="6EA277F7">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铁架台</w:t>
            </w:r>
          </w:p>
        </w:tc>
        <w:tc>
          <w:tcPr>
            <w:tcW w:w="5339" w:type="dxa"/>
            <w:noWrap/>
            <w:vAlign w:val="top"/>
          </w:tcPr>
          <w:p w14:paraId="5417F0D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重量：≥2.6KG</w:t>
            </w:r>
          </w:p>
          <w:p w14:paraId="1466805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杆粗：≥12mm</w:t>
            </w:r>
          </w:p>
          <w:p w14:paraId="18F518D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总高：≥100cm</w:t>
            </w:r>
          </w:p>
        </w:tc>
        <w:tc>
          <w:tcPr>
            <w:tcW w:w="594" w:type="dxa"/>
            <w:noWrap w:val="0"/>
            <w:vAlign w:val="center"/>
          </w:tcPr>
          <w:p w14:paraId="5ACCA734">
            <w:pPr>
              <w:keepNext w:val="0"/>
              <w:keepLines w:val="0"/>
              <w:pageBreakBefore w:val="0"/>
              <w:kinsoku/>
              <w:overflowPunct/>
              <w:topLinePunct w:val="0"/>
              <w:bidi w:val="0"/>
              <w:snapToGrid/>
              <w:spacing w:after="0"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套</w:t>
            </w:r>
          </w:p>
        </w:tc>
        <w:tc>
          <w:tcPr>
            <w:tcW w:w="491" w:type="dxa"/>
            <w:noWrap w:val="0"/>
            <w:vAlign w:val="center"/>
          </w:tcPr>
          <w:p w14:paraId="01A70730">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10</w:t>
            </w:r>
          </w:p>
        </w:tc>
      </w:tr>
      <w:tr w14:paraId="0E181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1ED8018F">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16</w:t>
            </w:r>
          </w:p>
        </w:tc>
        <w:tc>
          <w:tcPr>
            <w:tcW w:w="1483" w:type="dxa"/>
            <w:noWrap w:val="0"/>
            <w:vAlign w:val="center"/>
          </w:tcPr>
          <w:p w14:paraId="5821C7CA">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万用表</w:t>
            </w:r>
          </w:p>
        </w:tc>
        <w:tc>
          <w:tcPr>
            <w:tcW w:w="5339" w:type="dxa"/>
            <w:noWrap/>
            <w:vAlign w:val="top"/>
          </w:tcPr>
          <w:p w14:paraId="098FB61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显示方式：LDC数显屏</w:t>
            </w:r>
          </w:p>
          <w:p w14:paraId="51EA103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工作环境：0-40度</w:t>
            </w:r>
          </w:p>
          <w:p w14:paraId="543094C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最大显示：1999</w:t>
            </w:r>
          </w:p>
          <w:p w14:paraId="74B2E1E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三极管测量</w:t>
            </w:r>
          </w:p>
          <w:p w14:paraId="17A1D3E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20电流端口</w:t>
            </w:r>
          </w:p>
        </w:tc>
        <w:tc>
          <w:tcPr>
            <w:tcW w:w="594" w:type="dxa"/>
            <w:noWrap w:val="0"/>
            <w:vAlign w:val="center"/>
          </w:tcPr>
          <w:p w14:paraId="1DEF2D76">
            <w:pPr>
              <w:keepNext w:val="0"/>
              <w:keepLines w:val="0"/>
              <w:pageBreakBefore w:val="0"/>
              <w:kinsoku/>
              <w:overflowPunct/>
              <w:topLinePunct w:val="0"/>
              <w:bidi w:val="0"/>
              <w:snapToGrid/>
              <w:spacing w:after="0"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套</w:t>
            </w:r>
          </w:p>
        </w:tc>
        <w:tc>
          <w:tcPr>
            <w:tcW w:w="491" w:type="dxa"/>
            <w:noWrap w:val="0"/>
            <w:vAlign w:val="center"/>
          </w:tcPr>
          <w:p w14:paraId="1171ED92">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10</w:t>
            </w:r>
          </w:p>
        </w:tc>
      </w:tr>
      <w:tr w14:paraId="6AA56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7ADF3E50">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17</w:t>
            </w:r>
          </w:p>
        </w:tc>
        <w:tc>
          <w:tcPr>
            <w:tcW w:w="1483" w:type="dxa"/>
            <w:noWrap w:val="0"/>
            <w:vAlign w:val="center"/>
          </w:tcPr>
          <w:p w14:paraId="1897476A">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U型琼脂盐桥</w:t>
            </w:r>
          </w:p>
        </w:tc>
        <w:tc>
          <w:tcPr>
            <w:tcW w:w="5339" w:type="dxa"/>
            <w:noWrap/>
            <w:vAlign w:val="top"/>
          </w:tcPr>
          <w:p w14:paraId="2C95D3E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组成：氯化钾溶液+琼脂</w:t>
            </w:r>
          </w:p>
          <w:p w14:paraId="7B3A3BA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间距≥53mm</w:t>
            </w:r>
          </w:p>
          <w:p w14:paraId="1514F02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尺寸：≥15*150mm</w:t>
            </w:r>
          </w:p>
        </w:tc>
        <w:tc>
          <w:tcPr>
            <w:tcW w:w="594" w:type="dxa"/>
            <w:noWrap w:val="0"/>
            <w:vAlign w:val="center"/>
          </w:tcPr>
          <w:p w14:paraId="7A923E33">
            <w:pPr>
              <w:keepNext w:val="0"/>
              <w:keepLines w:val="0"/>
              <w:pageBreakBefore w:val="0"/>
              <w:kinsoku/>
              <w:overflowPunct/>
              <w:topLinePunct w:val="0"/>
              <w:bidi w:val="0"/>
              <w:snapToGrid/>
              <w:spacing w:after="0"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个</w:t>
            </w:r>
          </w:p>
        </w:tc>
        <w:tc>
          <w:tcPr>
            <w:tcW w:w="491" w:type="dxa"/>
            <w:noWrap w:val="0"/>
            <w:vAlign w:val="center"/>
          </w:tcPr>
          <w:p w14:paraId="7158C064">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20</w:t>
            </w:r>
          </w:p>
        </w:tc>
      </w:tr>
      <w:tr w14:paraId="41372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3651763D">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18</w:t>
            </w:r>
          </w:p>
        </w:tc>
        <w:tc>
          <w:tcPr>
            <w:tcW w:w="1483" w:type="dxa"/>
            <w:noWrap w:val="0"/>
            <w:vAlign w:val="center"/>
          </w:tcPr>
          <w:p w14:paraId="06386A33">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A级大肚移液管</w:t>
            </w:r>
          </w:p>
        </w:tc>
        <w:tc>
          <w:tcPr>
            <w:tcW w:w="5339" w:type="dxa"/>
            <w:noWrap/>
            <w:vAlign w:val="top"/>
          </w:tcPr>
          <w:p w14:paraId="3BE9FBE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25mL </w:t>
            </w:r>
          </w:p>
        </w:tc>
        <w:tc>
          <w:tcPr>
            <w:tcW w:w="594" w:type="dxa"/>
            <w:noWrap w:val="0"/>
            <w:vAlign w:val="center"/>
          </w:tcPr>
          <w:p w14:paraId="1B32F218">
            <w:pPr>
              <w:keepNext w:val="0"/>
              <w:keepLines w:val="0"/>
              <w:pageBreakBefore w:val="0"/>
              <w:kinsoku/>
              <w:overflowPunct/>
              <w:topLinePunct w:val="0"/>
              <w:bidi w:val="0"/>
              <w:snapToGrid/>
              <w:spacing w:after="0"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个</w:t>
            </w:r>
          </w:p>
        </w:tc>
        <w:tc>
          <w:tcPr>
            <w:tcW w:w="491" w:type="dxa"/>
            <w:noWrap w:val="0"/>
            <w:vAlign w:val="center"/>
          </w:tcPr>
          <w:p w14:paraId="0EF5C942">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40</w:t>
            </w:r>
          </w:p>
        </w:tc>
      </w:tr>
      <w:tr w14:paraId="7F26C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1FEB0273">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19</w:t>
            </w:r>
          </w:p>
        </w:tc>
        <w:tc>
          <w:tcPr>
            <w:tcW w:w="1483" w:type="dxa"/>
            <w:noWrap w:val="0"/>
            <w:vAlign w:val="center"/>
          </w:tcPr>
          <w:p w14:paraId="4904DB00">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称量瓶</w:t>
            </w:r>
          </w:p>
        </w:tc>
        <w:tc>
          <w:tcPr>
            <w:tcW w:w="5339" w:type="dxa"/>
            <w:noWrap/>
            <w:vAlign w:val="top"/>
          </w:tcPr>
          <w:p w14:paraId="637AE85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高型 25*40cm</w:t>
            </w:r>
          </w:p>
        </w:tc>
        <w:tc>
          <w:tcPr>
            <w:tcW w:w="594" w:type="dxa"/>
            <w:noWrap w:val="0"/>
            <w:vAlign w:val="center"/>
          </w:tcPr>
          <w:p w14:paraId="5AFE91C2">
            <w:pPr>
              <w:keepNext w:val="0"/>
              <w:keepLines w:val="0"/>
              <w:pageBreakBefore w:val="0"/>
              <w:kinsoku/>
              <w:overflowPunct/>
              <w:topLinePunct w:val="0"/>
              <w:bidi w:val="0"/>
              <w:snapToGrid/>
              <w:spacing w:after="0"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个</w:t>
            </w:r>
          </w:p>
        </w:tc>
        <w:tc>
          <w:tcPr>
            <w:tcW w:w="491" w:type="dxa"/>
            <w:noWrap w:val="0"/>
            <w:vAlign w:val="center"/>
          </w:tcPr>
          <w:p w14:paraId="398647A4">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40</w:t>
            </w:r>
          </w:p>
        </w:tc>
      </w:tr>
      <w:tr w14:paraId="42BD6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68EEC798">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20</w:t>
            </w:r>
          </w:p>
        </w:tc>
        <w:tc>
          <w:tcPr>
            <w:tcW w:w="1483" w:type="dxa"/>
            <w:noWrap w:val="0"/>
            <w:vAlign w:val="center"/>
          </w:tcPr>
          <w:p w14:paraId="3C84883F">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试剂柜</w:t>
            </w:r>
          </w:p>
        </w:tc>
        <w:tc>
          <w:tcPr>
            <w:tcW w:w="5339" w:type="dxa"/>
            <w:noWrap/>
            <w:vAlign w:val="top"/>
          </w:tcPr>
          <w:p w14:paraId="58AD297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45加仑 双锁</w:t>
            </w:r>
          </w:p>
        </w:tc>
        <w:tc>
          <w:tcPr>
            <w:tcW w:w="594" w:type="dxa"/>
            <w:noWrap w:val="0"/>
            <w:vAlign w:val="center"/>
          </w:tcPr>
          <w:p w14:paraId="075885E1">
            <w:pPr>
              <w:keepNext w:val="0"/>
              <w:keepLines w:val="0"/>
              <w:pageBreakBefore w:val="0"/>
              <w:kinsoku/>
              <w:overflowPunct/>
              <w:topLinePunct w:val="0"/>
              <w:bidi w:val="0"/>
              <w:snapToGrid/>
              <w:spacing w:after="0"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个</w:t>
            </w:r>
          </w:p>
        </w:tc>
        <w:tc>
          <w:tcPr>
            <w:tcW w:w="491" w:type="dxa"/>
            <w:noWrap w:val="0"/>
            <w:vAlign w:val="center"/>
          </w:tcPr>
          <w:p w14:paraId="50694421">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2</w:t>
            </w:r>
          </w:p>
        </w:tc>
      </w:tr>
      <w:tr w14:paraId="32E5F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701A272A">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21</w:t>
            </w:r>
          </w:p>
        </w:tc>
        <w:tc>
          <w:tcPr>
            <w:tcW w:w="1483" w:type="dxa"/>
            <w:noWrap w:val="0"/>
            <w:vAlign w:val="center"/>
          </w:tcPr>
          <w:p w14:paraId="152C8810">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智慧黑板（</w:t>
            </w:r>
            <w:r>
              <w:rPr>
                <w:rFonts w:hint="eastAsia" w:ascii="宋体" w:hAnsi="宋体" w:eastAsia="宋体" w:cs="宋体"/>
                <w:color w:val="auto"/>
                <w:sz w:val="21"/>
                <w:szCs w:val="21"/>
                <w:highlight w:val="none"/>
              </w:rPr>
              <w:t>触摸教学一体机</w:t>
            </w:r>
            <w:r>
              <w:rPr>
                <w:rFonts w:hint="eastAsia" w:ascii="宋体" w:hAnsi="宋体" w:eastAsia="宋体" w:cs="宋体"/>
                <w:color w:val="auto"/>
                <w:kern w:val="0"/>
                <w:sz w:val="21"/>
                <w:szCs w:val="21"/>
                <w:highlight w:val="none"/>
                <w:lang w:bidi="ar"/>
              </w:rPr>
              <w:t>）</w:t>
            </w:r>
          </w:p>
        </w:tc>
        <w:tc>
          <w:tcPr>
            <w:tcW w:w="5339" w:type="dxa"/>
            <w:noWrap/>
            <w:vAlign w:val="center"/>
          </w:tcPr>
          <w:p w14:paraId="708C301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整机采用一体设计，外部无任何可见内部功能模块连接线。边角采用弧形设计，表面无尖锐边缘或凸起，整机采用全金属外壳设计，边框为金属一体成型，整机屏幕边缘采用金属圆角包边防护，整机背板采用金属材质，有效屏蔽内部电路器件辐射；防潮耐盐雾蚀锈，适应多种教学环境。</w:t>
            </w:r>
          </w:p>
          <w:p w14:paraId="2A8452C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 整机支持双路可插拔模块，一个槽位支持OPS模块插拔，另一个槽位支持AI模块插拔。</w:t>
            </w:r>
          </w:p>
          <w:p w14:paraId="3E5A379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 整机屏幕不小于98英寸，采用超高清LED液晶显示屏，显示比例16:9，分辨率≥3840×2160，钢化玻璃表面硬度≥9H。</w:t>
            </w:r>
          </w:p>
          <w:p w14:paraId="5C36553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 安卓系统版本不低于Android 13.0，内存≥4GB，存储空间≥32GB。</w:t>
            </w:r>
          </w:p>
          <w:p w14:paraId="1E53584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 采用红外触控技术，支持Windows系统中进行50点或以上触控，支持在Android系统中进行40点或以上触控。</w:t>
            </w:r>
          </w:p>
          <w:p w14:paraId="5DCAFEF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 整机内置2.2声道扬声器，位于设备上边框，顶置朝前发声，前朝向10W高音扬声器2个，上朝向20W中低音扬声器2个，额定总功率60W。</w:t>
            </w:r>
          </w:p>
          <w:p w14:paraId="2D386A7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 整机内置独立音频CPU处理器，支持麦克风3A算法（自动增益控制（AGC）、自动抑制噪声（ANC）、自动回声消除（AEC）），提升麦克风拾音效果。整机内置专属的4核音频CPU处理器，最多支持8路麦克风数据处理，采样率支持192K，同时不占用整机系统的CPU能力。</w:t>
            </w:r>
          </w:p>
          <w:p w14:paraId="6673161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 整机内置扬声器采用缝隙发声技术，喇叭采用槽式开口设计，不大于5.8mm</w:t>
            </w:r>
          </w:p>
          <w:p w14:paraId="0E6C5D4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 整机内置非独立外扩展的8阵列麦克风，拾音角度≥180°，可用于对教室环境音频进行采集，拾音距离≥12m。</w:t>
            </w:r>
          </w:p>
          <w:p w14:paraId="09096AF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10、整机支持色彩空间可选，包含标准模式和sRGB模式，在sRGB模式下可做到高色准△E≤1。</w:t>
            </w:r>
          </w:p>
          <w:p w14:paraId="46C9A1A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 整机系统支持手势上滑调出人工智能画质调节模式（AI-PQ），在安卓通道下可根据屏幕内容自动调节画质参数。</w:t>
            </w:r>
          </w:p>
          <w:p w14:paraId="144F0CB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 智慧黑板具有物理防蓝光功能，视网膜蓝光危害（蓝光加权辐射亮度LB）＜0.3，依据GB/T 20145-2006国家标准，无蓝光危害。</w:t>
            </w:r>
          </w:p>
          <w:p w14:paraId="25668C1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 整机支持纸质护眼模式，可以在任意通道任意画面任意软件所有显示内容下实现画面纹理的实时调整；支持纸质纹理：牛皮纸、素描纸、宣纸、水彩纸、水纹纸；支持透明度调节；支持色温调节。</w:t>
            </w:r>
          </w:p>
          <w:p w14:paraId="113FB5C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 整机具备至少6个前置按键，可实现开关机、调出中控菜单、音量+/-、护眼、录屏操作。</w:t>
            </w:r>
          </w:p>
          <w:p w14:paraId="1FC8E16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 整机系统支持书写触控延迟≤15ms。</w:t>
            </w:r>
          </w:p>
          <w:p w14:paraId="23EEA7B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 整机支持蓝牙Bluetooth 5.4标准；Wi-Fi制式支持IEEE 802.11 a/b/g/n/ac/ax；支持版本Wi-Fi6。</w:t>
            </w:r>
          </w:p>
          <w:p w14:paraId="37D6129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 整机内置双WiFi6无线网卡（不接受外接），在Android和Windows系统下，可实现Wi-Fi无线上网连接、AP无线热点发射。</w:t>
            </w:r>
          </w:p>
          <w:p w14:paraId="151E105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 整机支持发出频率为18kHz-22kHz超声波信号，智能手机通过麦克风接收后，智能手机与整机无需在同一局域网内，可实现配对，一键投屏，用户无需手动输入投屏码或扫码获取投屏码；</w:t>
            </w:r>
          </w:p>
          <w:p w14:paraId="7BA8082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 整机上边框内置非独立式摄像头，采用一体化集成设计，摄像头数量≥4个。</w:t>
            </w:r>
          </w:p>
          <w:p w14:paraId="68CB196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 整机支持上边框内置非独立摄像头模组，同时输出至少 3 路视频流，同时支持课堂远程巡课、课堂教学数据采集、本地画面预览（拍照或视频录制）。</w:t>
            </w:r>
          </w:p>
          <w:p w14:paraId="22B0678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 整机支持提笔书写，在Windows系统下可实现无需点击任意功能入口，当检测到红外笔笔尖接触屏幕时，自动进入书写模式。整机支持手笔分离，通过提笔即写唤醒批注功能后，可进行手笔分离功能，使用笔正常书写，使用手指可以操作应用，进行点击操作。</w:t>
            </w:r>
          </w:p>
          <w:p w14:paraId="4539F7F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 整机Windows通道支持文件传输应用，支持通过扫码、wifi直联、超声三种方式与手机进行握手连接，实现文件传输功能。</w:t>
            </w:r>
          </w:p>
          <w:p w14:paraId="33A0C1D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 整机内置专业硬件自检维护工具（非第三方工具），支持对整机内部的板卡及部件模块进行故障检测、系统还原功能。</w:t>
            </w:r>
          </w:p>
          <w:p w14:paraId="4A7AC3C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 整机全通道侧边栏支持展示学校名称、设备班级、场地信息。整机全通道侧边栏快捷菜单中可实时查看物联设备的连接情况，点击设备图标即可调出中控菜单进行管控。</w:t>
            </w:r>
          </w:p>
          <w:p w14:paraId="1B96F09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25、 整机全通道侧边栏快捷菜单包含如下小工具：批注、降半屏、截屏、放大镜、倒计时、日历、聚光灯、秒表、冻屏、倒数日、答题、节拍器。</w:t>
            </w:r>
          </w:p>
          <w:p w14:paraId="1069413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26、整机设备可将应用编辑到教学桌面首页，编辑方式支持从教学桌面首页进入编辑，支持在全部应用列表中进入编辑2种方式。教学桌面首页应用支持无需进入应用编辑页面，在首页指定应用上长按进行移除。</w:t>
            </w:r>
          </w:p>
          <w:p w14:paraId="6299E16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27、 整机设备自带地震预警软件；支持在地震预警页面中获取位置，可以手动进行位置校准；支持在地震预警页面中选择提醒阈值；支持在地震预警界面中开启和关闭地震预警服务。</w:t>
            </w:r>
          </w:p>
          <w:p w14:paraId="14A3315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28、 采用抽拉内置式模块化电脑，抽拉内置式，PC模块可插入整机，可实现无单独接线的插拔。≥Intel i7,12代CPU，内存≥8GB DDR4内存配置，硬盘≥256 GB SSD固态硬盘。</w:t>
            </w:r>
          </w:p>
        </w:tc>
        <w:tc>
          <w:tcPr>
            <w:tcW w:w="594" w:type="dxa"/>
            <w:noWrap w:val="0"/>
            <w:vAlign w:val="center"/>
          </w:tcPr>
          <w:p w14:paraId="758D80CE">
            <w:pPr>
              <w:keepNext w:val="0"/>
              <w:keepLines w:val="0"/>
              <w:pageBreakBefore w:val="0"/>
              <w:kinsoku/>
              <w:overflowPunct/>
              <w:topLinePunct w:val="0"/>
              <w:bidi w:val="0"/>
              <w:snapToGrid/>
              <w:spacing w:after="0"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个</w:t>
            </w:r>
          </w:p>
        </w:tc>
        <w:tc>
          <w:tcPr>
            <w:tcW w:w="491" w:type="dxa"/>
            <w:noWrap w:val="0"/>
            <w:vAlign w:val="center"/>
          </w:tcPr>
          <w:p w14:paraId="5FD639F5">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w:t>
            </w:r>
          </w:p>
        </w:tc>
      </w:tr>
      <w:tr w14:paraId="67FE8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7F8D1D8C">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22</w:t>
            </w:r>
          </w:p>
        </w:tc>
        <w:tc>
          <w:tcPr>
            <w:tcW w:w="1483" w:type="dxa"/>
            <w:noWrap w:val="0"/>
            <w:vAlign w:val="center"/>
          </w:tcPr>
          <w:p w14:paraId="0FE58A78">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空调柜机</w:t>
            </w:r>
          </w:p>
        </w:tc>
        <w:tc>
          <w:tcPr>
            <w:tcW w:w="5339" w:type="dxa"/>
            <w:noWrap/>
            <w:vAlign w:val="top"/>
          </w:tcPr>
          <w:p w14:paraId="684E245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操控方式：遥控器控制</w:t>
            </w:r>
          </w:p>
          <w:p w14:paraId="322C4EE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能效等级：一级能效</w:t>
            </w:r>
          </w:p>
          <w:p w14:paraId="4E491C4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变频/定频：变频</w:t>
            </w:r>
          </w:p>
          <w:p w14:paraId="462B34A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冷暖类型：冷暖</w:t>
            </w:r>
          </w:p>
          <w:p w14:paraId="0FC23C4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匹数：5匹</w:t>
            </w:r>
          </w:p>
          <w:p w14:paraId="222138D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循环风量：≥2100m2/h</w:t>
            </w:r>
          </w:p>
        </w:tc>
        <w:tc>
          <w:tcPr>
            <w:tcW w:w="594" w:type="dxa"/>
            <w:noWrap w:val="0"/>
            <w:vAlign w:val="center"/>
          </w:tcPr>
          <w:p w14:paraId="52191DD7">
            <w:pPr>
              <w:keepNext w:val="0"/>
              <w:keepLines w:val="0"/>
              <w:pageBreakBefore w:val="0"/>
              <w:kinsoku/>
              <w:overflowPunct/>
              <w:topLinePunct w:val="0"/>
              <w:bidi w:val="0"/>
              <w:snapToGrid/>
              <w:spacing w:after="0"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个</w:t>
            </w:r>
          </w:p>
        </w:tc>
        <w:tc>
          <w:tcPr>
            <w:tcW w:w="491" w:type="dxa"/>
            <w:noWrap w:val="0"/>
            <w:vAlign w:val="center"/>
          </w:tcPr>
          <w:p w14:paraId="0721A205">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w:t>
            </w:r>
          </w:p>
        </w:tc>
      </w:tr>
      <w:tr w14:paraId="0B652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5F90EA2A">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23</w:t>
            </w:r>
          </w:p>
        </w:tc>
        <w:tc>
          <w:tcPr>
            <w:tcW w:w="1483" w:type="dxa"/>
            <w:noWrap w:val="0"/>
            <w:vAlign w:val="center"/>
          </w:tcPr>
          <w:p w14:paraId="2920F3B3">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凳子</w:t>
            </w:r>
          </w:p>
        </w:tc>
        <w:tc>
          <w:tcPr>
            <w:tcW w:w="5339" w:type="dxa"/>
            <w:noWrap/>
            <w:vAlign w:val="top"/>
          </w:tcPr>
          <w:p w14:paraId="3E49518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PU面液压升降，承重：100kg以上</w:t>
            </w:r>
          </w:p>
        </w:tc>
        <w:tc>
          <w:tcPr>
            <w:tcW w:w="594" w:type="dxa"/>
            <w:noWrap w:val="0"/>
            <w:vAlign w:val="center"/>
          </w:tcPr>
          <w:p w14:paraId="433DC3FE">
            <w:pPr>
              <w:keepNext w:val="0"/>
              <w:keepLines w:val="0"/>
              <w:pageBreakBefore w:val="0"/>
              <w:kinsoku/>
              <w:overflowPunct/>
              <w:topLinePunct w:val="0"/>
              <w:bidi w:val="0"/>
              <w:snapToGrid/>
              <w:spacing w:after="0"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个</w:t>
            </w:r>
          </w:p>
        </w:tc>
        <w:tc>
          <w:tcPr>
            <w:tcW w:w="491" w:type="dxa"/>
            <w:noWrap w:val="0"/>
            <w:vAlign w:val="center"/>
          </w:tcPr>
          <w:p w14:paraId="2591B83D">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30</w:t>
            </w:r>
          </w:p>
        </w:tc>
      </w:tr>
      <w:tr w14:paraId="03B50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2DB30EF7">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24</w:t>
            </w:r>
          </w:p>
        </w:tc>
        <w:tc>
          <w:tcPr>
            <w:tcW w:w="1483" w:type="dxa"/>
            <w:noWrap w:val="0"/>
            <w:vAlign w:val="center"/>
          </w:tcPr>
          <w:p w14:paraId="3C599130">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c>
          <w:tcPr>
            <w:tcW w:w="5339" w:type="dxa"/>
            <w:noWrap/>
            <w:vAlign w:val="top"/>
          </w:tcPr>
          <w:p w14:paraId="30C7F78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该实验室含上下水管、弯头、插线板、电线路等一套</w:t>
            </w:r>
          </w:p>
        </w:tc>
        <w:tc>
          <w:tcPr>
            <w:tcW w:w="594" w:type="dxa"/>
            <w:noWrap w:val="0"/>
            <w:vAlign w:val="center"/>
          </w:tcPr>
          <w:p w14:paraId="78BBCBF5">
            <w:pPr>
              <w:keepNext w:val="0"/>
              <w:keepLines w:val="0"/>
              <w:pageBreakBefore w:val="0"/>
              <w:kinsoku/>
              <w:overflowPunct/>
              <w:topLinePunct w:val="0"/>
              <w:bidi w:val="0"/>
              <w:snapToGrid/>
              <w:spacing w:after="0" w:line="440" w:lineRule="exact"/>
              <w:ind w:firstLine="194" w:firstLineChars="100"/>
              <w:textAlignment w:val="auto"/>
              <w:rPr>
                <w:rFonts w:hint="eastAsia" w:ascii="宋体" w:hAnsi="宋体" w:eastAsia="宋体" w:cs="宋体"/>
                <w:color w:val="auto"/>
                <w:spacing w:val="-8"/>
                <w:sz w:val="21"/>
                <w:szCs w:val="21"/>
                <w:highlight w:val="none"/>
              </w:rPr>
            </w:pPr>
          </w:p>
        </w:tc>
        <w:tc>
          <w:tcPr>
            <w:tcW w:w="491" w:type="dxa"/>
            <w:noWrap w:val="0"/>
            <w:vAlign w:val="center"/>
          </w:tcPr>
          <w:p w14:paraId="3673BDF5">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p>
        </w:tc>
      </w:tr>
      <w:tr w14:paraId="03855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5"/>
            <w:noWrap w:val="0"/>
            <w:vAlign w:val="center"/>
          </w:tcPr>
          <w:p w14:paraId="15F7B00B">
            <w:pPr>
              <w:keepNext w:val="0"/>
              <w:keepLines w:val="0"/>
              <w:pageBreakBefore w:val="0"/>
              <w:kinsoku/>
              <w:overflowPunct/>
              <w:topLinePunct w:val="0"/>
              <w:bidi w:val="0"/>
              <w:snapToGrid/>
              <w:spacing w:after="0" w:line="440" w:lineRule="exact"/>
              <w:textAlignment w:val="auto"/>
              <w:rPr>
                <w:rFonts w:hint="eastAsia" w:ascii="宋体" w:hAnsi="宋体" w:eastAsia="宋体" w:cs="宋体"/>
                <w:b/>
                <w:bCs/>
                <w:color w:val="auto"/>
                <w:spacing w:val="-8"/>
                <w:sz w:val="21"/>
                <w:szCs w:val="21"/>
                <w:highlight w:val="none"/>
              </w:rPr>
            </w:pPr>
            <w:r>
              <w:rPr>
                <w:rFonts w:hint="eastAsia" w:ascii="宋体" w:hAnsi="宋体" w:cs="宋体"/>
                <w:b/>
                <w:bCs/>
                <w:color w:val="auto"/>
                <w:spacing w:val="-8"/>
                <w:sz w:val="21"/>
                <w:szCs w:val="21"/>
                <w:highlight w:val="none"/>
                <w:lang w:val="en-US" w:eastAsia="zh-CN"/>
              </w:rPr>
              <w:t>2</w:t>
            </w:r>
            <w:r>
              <w:rPr>
                <w:rFonts w:hint="eastAsia" w:ascii="宋体" w:hAnsi="宋体" w:eastAsia="宋体" w:cs="宋体"/>
                <w:b/>
                <w:bCs/>
                <w:color w:val="auto"/>
                <w:spacing w:val="-8"/>
                <w:sz w:val="21"/>
                <w:szCs w:val="21"/>
                <w:highlight w:val="none"/>
              </w:rPr>
              <w:t>.精细化工实训室</w:t>
            </w:r>
          </w:p>
        </w:tc>
      </w:tr>
      <w:tr w14:paraId="04DF0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6391579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w:t>
            </w:r>
          </w:p>
        </w:tc>
        <w:tc>
          <w:tcPr>
            <w:tcW w:w="1483" w:type="dxa"/>
            <w:noWrap w:val="0"/>
            <w:vAlign w:val="center"/>
          </w:tcPr>
          <w:p w14:paraId="3F91B965">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强酸强碱试剂柜</w:t>
            </w:r>
          </w:p>
        </w:tc>
        <w:tc>
          <w:tcPr>
            <w:tcW w:w="5339" w:type="dxa"/>
            <w:noWrap/>
            <w:vAlign w:val="center"/>
          </w:tcPr>
          <w:p w14:paraId="52FDFFD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1、采用≥8 mm瓷白色PP（聚丙烯）板材，经过同色同质焊条焊接而成 具有耐强酸、强碱与抗腐蚀的特性</w:t>
            </w:r>
          </w:p>
          <w:p w14:paraId="55B4B23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2、柜体：柜体采用无缝焊技术</w:t>
            </w:r>
          </w:p>
          <w:p w14:paraId="4AF41E5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3、层板：采用纯料PP(聚丙烯)板制作经过同色同质焊条一体焊接 四周有立边，立边整体焊接成型，整体设计为活动式，可随意抽取放在合适的隔层，自由组合各层空间。层板正反均可放置，四周立边可获得一定程度防溢效果。</w:t>
            </w:r>
          </w:p>
          <w:p w14:paraId="084F020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4、视窗：采用≥5mm钢化玻璃制作</w:t>
            </w:r>
            <w:r>
              <w:rPr>
                <w:rFonts w:hint="eastAsia" w:ascii="宋体" w:hAnsi="宋体" w:eastAsia="宋体" w:cs="宋体"/>
                <w:color w:val="auto"/>
                <w:sz w:val="21"/>
                <w:szCs w:val="21"/>
                <w:highlight w:val="none"/>
                <w:lang w:eastAsia="zh-CN"/>
              </w:rPr>
              <w:t>。</w:t>
            </w:r>
          </w:p>
          <w:p w14:paraId="723372F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5、门把手： 耐酸碱PP材质</w:t>
            </w:r>
          </w:p>
          <w:p w14:paraId="50C570A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6、门合页： 耐酸碱PP材质</w:t>
            </w:r>
          </w:p>
        </w:tc>
        <w:tc>
          <w:tcPr>
            <w:tcW w:w="594" w:type="dxa"/>
            <w:noWrap w:val="0"/>
            <w:vAlign w:val="center"/>
          </w:tcPr>
          <w:p w14:paraId="64F1D83D">
            <w:pPr>
              <w:keepNext w:val="0"/>
              <w:keepLines w:val="0"/>
              <w:pageBreakBefore w:val="0"/>
              <w:kinsoku/>
              <w:overflowPunct/>
              <w:topLinePunct w:val="0"/>
              <w:bidi w:val="0"/>
              <w:snapToGrid/>
              <w:spacing w:after="0"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台</w:t>
            </w:r>
          </w:p>
        </w:tc>
        <w:tc>
          <w:tcPr>
            <w:tcW w:w="491" w:type="dxa"/>
            <w:noWrap w:val="0"/>
            <w:vAlign w:val="center"/>
          </w:tcPr>
          <w:p w14:paraId="1F6A4D03">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2</w:t>
            </w:r>
          </w:p>
        </w:tc>
      </w:tr>
      <w:tr w14:paraId="71CED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2206ECE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2</w:t>
            </w:r>
          </w:p>
        </w:tc>
        <w:tc>
          <w:tcPr>
            <w:tcW w:w="1483" w:type="dxa"/>
            <w:noWrap w:val="0"/>
            <w:vAlign w:val="center"/>
          </w:tcPr>
          <w:p w14:paraId="3674E222">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漆膜附着力试验仪</w:t>
            </w:r>
          </w:p>
        </w:tc>
        <w:tc>
          <w:tcPr>
            <w:tcW w:w="5339" w:type="dxa"/>
            <w:noWrap/>
            <w:vAlign w:val="top"/>
          </w:tcPr>
          <w:p w14:paraId="017C17E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一、用途</w:t>
            </w:r>
          </w:p>
          <w:p w14:paraId="27D2C9E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 xml:space="preserve">本仪器用于测定各种涂膜对被涂物表面的附着能力。 </w:t>
            </w:r>
          </w:p>
          <w:p w14:paraId="5140D4C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执行标准：GB/T1720-88   JISK6894</w:t>
            </w:r>
          </w:p>
          <w:p w14:paraId="099EED8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二、结构原理</w:t>
            </w:r>
          </w:p>
          <w:p w14:paraId="0DD742C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本仪器为台式，共分为四个部分。</w:t>
            </w:r>
          </w:p>
          <w:p w14:paraId="123BF6E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1、主传动部分是由电机、齿形带、齿形带轮、斜齿轮传动及描绘头等组成。描绘头是由机头丝杠、丝母以及偏心头组成。</w:t>
            </w:r>
          </w:p>
          <w:p w14:paraId="6CEC997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2、工作台部分是由丝杠、半开螺母及试验台等组成。</w:t>
            </w:r>
          </w:p>
          <w:p w14:paraId="1F56D32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3、机座是由滑轨及电器控制组成。电器控制包含刺透显示电路及控制电机电路。</w:t>
            </w:r>
          </w:p>
          <w:p w14:paraId="6C61A0A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4、限行程控制装置是由止动能头以及微动开关组成。</w:t>
            </w:r>
          </w:p>
          <w:p w14:paraId="55B2001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三、规格</w:t>
            </w:r>
          </w:p>
          <w:p w14:paraId="313DC6E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1、描绘图形直径：0—10.5mm。</w:t>
            </w:r>
          </w:p>
          <w:p w14:paraId="1E01B2D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2、工作台有效面积：</w:t>
            </w:r>
            <w:r>
              <w:rPr>
                <w:rFonts w:hint="eastAsia" w:ascii="宋体" w:hAnsi="宋体" w:eastAsia="宋体" w:cs="宋体"/>
                <w:color w:val="auto"/>
                <w:kern w:val="0"/>
                <w:sz w:val="21"/>
                <w:szCs w:val="21"/>
                <w:highlight w:val="none"/>
                <w:lang w:val="en-US" w:eastAsia="zh-CN" w:bidi="ar"/>
              </w:rPr>
              <w:t>不小于</w:t>
            </w:r>
            <w:r>
              <w:rPr>
                <w:rFonts w:hint="eastAsia" w:ascii="宋体" w:hAnsi="宋体" w:eastAsia="宋体" w:cs="宋体"/>
                <w:color w:val="auto"/>
                <w:kern w:val="0"/>
                <w:sz w:val="21"/>
                <w:szCs w:val="21"/>
                <w:highlight w:val="none"/>
                <w:lang w:bidi="ar"/>
              </w:rPr>
              <w:t>50*100mm.</w:t>
            </w:r>
          </w:p>
          <w:p w14:paraId="40C55D1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3、加重砝码共四个，500克一个、200克两个、100克一个。</w:t>
            </w:r>
          </w:p>
          <w:p w14:paraId="1E841C8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4、针头采用钢制唱针。</w:t>
            </w:r>
          </w:p>
          <w:p w14:paraId="72D6462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5、工作台有效行程不小于80mm。</w:t>
            </w:r>
          </w:p>
        </w:tc>
        <w:tc>
          <w:tcPr>
            <w:tcW w:w="594" w:type="dxa"/>
            <w:noWrap w:val="0"/>
            <w:vAlign w:val="center"/>
          </w:tcPr>
          <w:p w14:paraId="16FD7F41">
            <w:pPr>
              <w:keepNext w:val="0"/>
              <w:keepLines w:val="0"/>
              <w:pageBreakBefore w:val="0"/>
              <w:kinsoku/>
              <w:overflowPunct/>
              <w:topLinePunct w:val="0"/>
              <w:bidi w:val="0"/>
              <w:snapToGrid/>
              <w:spacing w:after="0"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台</w:t>
            </w:r>
          </w:p>
        </w:tc>
        <w:tc>
          <w:tcPr>
            <w:tcW w:w="491" w:type="dxa"/>
            <w:noWrap w:val="0"/>
            <w:vAlign w:val="center"/>
          </w:tcPr>
          <w:p w14:paraId="6CC5A7C4">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w:t>
            </w:r>
          </w:p>
        </w:tc>
      </w:tr>
      <w:tr w14:paraId="57BEE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2FF8983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3</w:t>
            </w:r>
          </w:p>
        </w:tc>
        <w:tc>
          <w:tcPr>
            <w:tcW w:w="1483" w:type="dxa"/>
            <w:noWrap w:val="0"/>
            <w:vAlign w:val="center"/>
          </w:tcPr>
          <w:p w14:paraId="4BF13310">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静音无油空气机</w:t>
            </w:r>
          </w:p>
        </w:tc>
        <w:tc>
          <w:tcPr>
            <w:tcW w:w="5339" w:type="dxa"/>
            <w:noWrap/>
            <w:vAlign w:val="top"/>
          </w:tcPr>
          <w:p w14:paraId="54950D3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静音无油空压机技术指标：</w:t>
            </w:r>
          </w:p>
          <w:p w14:paraId="3B772EC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1、输出流量       0-5000ml/min </w:t>
            </w:r>
          </w:p>
          <w:p w14:paraId="56E2210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2、输出压力       0-0.4Mpa </w:t>
            </w:r>
          </w:p>
          <w:p w14:paraId="49D623D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3、压力稳定性    ＜0.002Mpa </w:t>
            </w:r>
          </w:p>
          <w:p w14:paraId="4AC05BD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4、工作噪音       ＜35dB(A) </w:t>
            </w:r>
          </w:p>
          <w:p w14:paraId="31E3445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5、工作电压       220V      50Hz </w:t>
            </w:r>
          </w:p>
        </w:tc>
        <w:tc>
          <w:tcPr>
            <w:tcW w:w="594" w:type="dxa"/>
            <w:noWrap w:val="0"/>
            <w:vAlign w:val="center"/>
          </w:tcPr>
          <w:p w14:paraId="32D61729">
            <w:pPr>
              <w:keepNext w:val="0"/>
              <w:keepLines w:val="0"/>
              <w:pageBreakBefore w:val="0"/>
              <w:kinsoku/>
              <w:overflowPunct/>
              <w:topLinePunct w:val="0"/>
              <w:bidi w:val="0"/>
              <w:snapToGrid/>
              <w:spacing w:after="0"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台</w:t>
            </w:r>
          </w:p>
        </w:tc>
        <w:tc>
          <w:tcPr>
            <w:tcW w:w="491" w:type="dxa"/>
            <w:noWrap w:val="0"/>
            <w:vAlign w:val="center"/>
          </w:tcPr>
          <w:p w14:paraId="0F4E54CC">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w:t>
            </w:r>
          </w:p>
        </w:tc>
      </w:tr>
      <w:tr w14:paraId="67F22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774BB82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4</w:t>
            </w:r>
          </w:p>
        </w:tc>
        <w:tc>
          <w:tcPr>
            <w:tcW w:w="1483" w:type="dxa"/>
            <w:noWrap w:val="0"/>
            <w:vAlign w:val="center"/>
          </w:tcPr>
          <w:p w14:paraId="626555D9">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实验台</w:t>
            </w:r>
          </w:p>
        </w:tc>
        <w:tc>
          <w:tcPr>
            <w:tcW w:w="5339" w:type="dxa"/>
            <w:noWrap/>
            <w:vAlign w:val="center"/>
          </w:tcPr>
          <w:p w14:paraId="3BF835F9">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auto"/>
                <w:sz w:val="21"/>
                <w:szCs w:val="21"/>
                <w:highlight w:val="none"/>
                <w:lang w:bidi="ar"/>
              </w:rPr>
            </w:pPr>
            <w:r>
              <w:rPr>
                <w:rFonts w:hint="eastAsia" w:ascii="宋体" w:hAnsi="宋体" w:eastAsia="宋体" w:cs="宋体"/>
                <w:color w:val="auto"/>
                <w:kern w:val="0"/>
                <w:sz w:val="21"/>
                <w:szCs w:val="21"/>
                <w:highlight w:val="none"/>
                <w:lang w:bidi="ar"/>
              </w:rPr>
              <w:t>1.</w:t>
            </w:r>
            <w:r>
              <w:rPr>
                <w:rStyle w:val="68"/>
                <w:rFonts w:hint="eastAsia" w:ascii="宋体" w:hAnsi="宋体" w:eastAsia="宋体" w:cs="宋体"/>
                <w:color w:val="auto"/>
                <w:sz w:val="21"/>
                <w:szCs w:val="21"/>
                <w:highlight w:val="none"/>
                <w:lang w:bidi="ar"/>
              </w:rPr>
              <w:t>主框架：</w:t>
            </w:r>
          </w:p>
          <w:p w14:paraId="51D75108">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auto"/>
                <w:sz w:val="21"/>
                <w:szCs w:val="21"/>
                <w:highlight w:val="none"/>
                <w:lang w:bidi="ar"/>
              </w:rPr>
            </w:pPr>
            <w:r>
              <w:rPr>
                <w:rStyle w:val="69"/>
                <w:rFonts w:hint="eastAsia" w:ascii="宋体" w:hAnsi="宋体" w:eastAsia="宋体" w:cs="宋体"/>
                <w:color w:val="auto"/>
                <w:sz w:val="21"/>
                <w:szCs w:val="21"/>
                <w:highlight w:val="none"/>
                <w:lang w:bidi="ar"/>
              </w:rPr>
              <w:t>1.1</w:t>
            </w:r>
            <w:r>
              <w:rPr>
                <w:rStyle w:val="68"/>
                <w:rFonts w:hint="eastAsia" w:ascii="宋体" w:hAnsi="宋体" w:eastAsia="宋体" w:cs="宋体"/>
                <w:color w:val="auto"/>
                <w:sz w:val="21"/>
                <w:szCs w:val="21"/>
                <w:highlight w:val="none"/>
                <w:lang w:bidi="ar"/>
              </w:rPr>
              <w:t>支撑架：采用</w:t>
            </w:r>
            <w:r>
              <w:rPr>
                <w:rStyle w:val="69"/>
                <w:rFonts w:hint="eastAsia" w:ascii="宋体" w:hAnsi="宋体" w:eastAsia="宋体" w:cs="宋体"/>
                <w:color w:val="auto"/>
                <w:sz w:val="21"/>
                <w:szCs w:val="21"/>
                <w:highlight w:val="none"/>
                <w:lang w:bidi="ar"/>
              </w:rPr>
              <w:t>C</w:t>
            </w:r>
            <w:r>
              <w:rPr>
                <w:rStyle w:val="68"/>
                <w:rFonts w:hint="eastAsia" w:ascii="宋体" w:hAnsi="宋体" w:eastAsia="宋体" w:cs="宋体"/>
                <w:color w:val="auto"/>
                <w:sz w:val="21"/>
                <w:szCs w:val="21"/>
                <w:highlight w:val="none"/>
                <w:lang w:bidi="ar"/>
              </w:rPr>
              <w:t>型优质</w:t>
            </w:r>
            <w:r>
              <w:rPr>
                <w:rStyle w:val="68"/>
                <w:rFonts w:hint="eastAsia" w:ascii="宋体" w:hAnsi="宋体" w:eastAsia="宋体" w:cs="宋体"/>
                <w:color w:val="auto"/>
                <w:sz w:val="21"/>
                <w:szCs w:val="21"/>
                <w:highlight w:val="none"/>
                <w:lang w:eastAsia="zh-CN" w:bidi="ar"/>
              </w:rPr>
              <w:t>冷轧</w:t>
            </w:r>
            <w:r>
              <w:rPr>
                <w:rStyle w:val="68"/>
                <w:rFonts w:hint="eastAsia" w:ascii="宋体" w:hAnsi="宋体" w:eastAsia="宋体" w:cs="宋体"/>
                <w:color w:val="auto"/>
                <w:sz w:val="21"/>
                <w:szCs w:val="21"/>
                <w:highlight w:val="none"/>
                <w:lang w:bidi="ar"/>
              </w:rPr>
              <w:t>钢管，与连接件连接的螺丝孔采用拉铆焊接工艺焊接，焊接后表面平整、无焊点痕迹，支撑架的连接螺丝全部采用国家标准内六角不锈钢螺丝连接，表面酸洗磷化处理后经环氧树脂静电粉末喷涂高温固化处理喷涂，耐酸碱及有机溶剂。</w:t>
            </w:r>
          </w:p>
          <w:p w14:paraId="3C828FFC">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auto"/>
                <w:sz w:val="21"/>
                <w:szCs w:val="21"/>
                <w:highlight w:val="none"/>
                <w:lang w:bidi="ar"/>
              </w:rPr>
            </w:pPr>
            <w:r>
              <w:rPr>
                <w:rStyle w:val="69"/>
                <w:rFonts w:hint="eastAsia" w:ascii="宋体" w:hAnsi="宋体" w:eastAsia="宋体" w:cs="宋体"/>
                <w:color w:val="auto"/>
                <w:sz w:val="21"/>
                <w:szCs w:val="21"/>
                <w:highlight w:val="none"/>
                <w:lang w:bidi="ar"/>
              </w:rPr>
              <w:t>1.2</w:t>
            </w:r>
            <w:r>
              <w:rPr>
                <w:rStyle w:val="68"/>
                <w:rFonts w:hint="eastAsia" w:ascii="宋体" w:hAnsi="宋体" w:eastAsia="宋体" w:cs="宋体"/>
                <w:color w:val="auto"/>
                <w:sz w:val="21"/>
                <w:szCs w:val="21"/>
                <w:highlight w:val="none"/>
                <w:lang w:bidi="ar"/>
              </w:rPr>
              <w:t>横梁：采用厚≥</w:t>
            </w:r>
            <w:r>
              <w:rPr>
                <w:rStyle w:val="69"/>
                <w:rFonts w:hint="eastAsia" w:ascii="宋体" w:hAnsi="宋体" w:eastAsia="宋体" w:cs="宋体"/>
                <w:color w:val="auto"/>
                <w:sz w:val="21"/>
                <w:szCs w:val="21"/>
                <w:highlight w:val="none"/>
                <w:lang w:bidi="ar"/>
              </w:rPr>
              <w:t>40×60×1.2mm</w:t>
            </w:r>
            <w:r>
              <w:rPr>
                <w:rStyle w:val="68"/>
                <w:rFonts w:hint="eastAsia" w:ascii="宋体" w:hAnsi="宋体" w:eastAsia="宋体" w:cs="宋体"/>
                <w:color w:val="auto"/>
                <w:sz w:val="21"/>
                <w:szCs w:val="21"/>
                <w:highlight w:val="none"/>
                <w:lang w:bidi="ar"/>
              </w:rPr>
              <w:t>优质</w:t>
            </w:r>
            <w:r>
              <w:rPr>
                <w:rStyle w:val="68"/>
                <w:rFonts w:hint="eastAsia" w:ascii="宋体" w:hAnsi="宋体" w:eastAsia="宋体" w:cs="宋体"/>
                <w:color w:val="auto"/>
                <w:sz w:val="21"/>
                <w:szCs w:val="21"/>
                <w:highlight w:val="none"/>
                <w:lang w:eastAsia="zh-CN" w:bidi="ar"/>
              </w:rPr>
              <w:t>冷轧</w:t>
            </w:r>
            <w:r>
              <w:rPr>
                <w:rStyle w:val="68"/>
                <w:rFonts w:hint="eastAsia" w:ascii="宋体" w:hAnsi="宋体" w:eastAsia="宋体" w:cs="宋体"/>
                <w:color w:val="auto"/>
                <w:sz w:val="21"/>
                <w:szCs w:val="21"/>
                <w:highlight w:val="none"/>
                <w:lang w:bidi="ar"/>
              </w:rPr>
              <w:t>钢管，与主框架连接，连接处采用不锈钢螺丝坚固，表面酸洗磷化处理后经环氧树脂静电粉末喷涂高温固化处理喷涂，耐酸碱及有机溶剂。</w:t>
            </w:r>
          </w:p>
          <w:p w14:paraId="10C9C397">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auto"/>
                <w:sz w:val="21"/>
                <w:szCs w:val="21"/>
                <w:highlight w:val="none"/>
                <w:lang w:bidi="ar"/>
              </w:rPr>
            </w:pPr>
            <w:r>
              <w:rPr>
                <w:rStyle w:val="69"/>
                <w:rFonts w:hint="eastAsia" w:ascii="宋体" w:hAnsi="宋体" w:eastAsia="宋体" w:cs="宋体"/>
                <w:color w:val="auto"/>
                <w:sz w:val="21"/>
                <w:szCs w:val="21"/>
                <w:highlight w:val="none"/>
                <w:lang w:bidi="ar"/>
              </w:rPr>
              <w:t>1.3</w:t>
            </w:r>
            <w:r>
              <w:rPr>
                <w:rStyle w:val="68"/>
                <w:rFonts w:hint="eastAsia" w:ascii="宋体" w:hAnsi="宋体" w:eastAsia="宋体" w:cs="宋体"/>
                <w:color w:val="auto"/>
                <w:sz w:val="21"/>
                <w:szCs w:val="21"/>
                <w:highlight w:val="none"/>
                <w:lang w:bidi="ar"/>
              </w:rPr>
              <w:t>连接翼：采用≥</w:t>
            </w:r>
            <w:r>
              <w:rPr>
                <w:rStyle w:val="69"/>
                <w:rFonts w:hint="eastAsia" w:ascii="宋体" w:hAnsi="宋体" w:eastAsia="宋体" w:cs="宋体"/>
                <w:color w:val="auto"/>
                <w:sz w:val="21"/>
                <w:szCs w:val="21"/>
                <w:highlight w:val="none"/>
                <w:lang w:bidi="ar"/>
              </w:rPr>
              <w:t>2mm</w:t>
            </w:r>
            <w:r>
              <w:rPr>
                <w:rStyle w:val="68"/>
                <w:rFonts w:hint="eastAsia" w:ascii="宋体" w:hAnsi="宋体" w:eastAsia="宋体" w:cs="宋体"/>
                <w:color w:val="auto"/>
                <w:sz w:val="21"/>
                <w:szCs w:val="21"/>
                <w:highlight w:val="none"/>
                <w:lang w:bidi="ar"/>
              </w:rPr>
              <w:t>厚钢板制作，表面酸洗磷化处理后经环氧树脂静电粉末喷涂高温固化处理喷涂，耐酸碱及有机溶剂。</w:t>
            </w:r>
          </w:p>
          <w:p w14:paraId="23581B4F">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auto"/>
                <w:sz w:val="21"/>
                <w:szCs w:val="21"/>
                <w:highlight w:val="none"/>
                <w:lang w:bidi="ar"/>
              </w:rPr>
            </w:pPr>
            <w:r>
              <w:rPr>
                <w:rStyle w:val="69"/>
                <w:rFonts w:hint="eastAsia" w:ascii="宋体" w:hAnsi="宋体" w:eastAsia="宋体" w:cs="宋体"/>
                <w:color w:val="auto"/>
                <w:sz w:val="21"/>
                <w:szCs w:val="21"/>
                <w:highlight w:val="none"/>
                <w:lang w:bidi="ar"/>
              </w:rPr>
              <w:t>1.4</w:t>
            </w:r>
            <w:r>
              <w:rPr>
                <w:rStyle w:val="68"/>
                <w:rFonts w:hint="eastAsia" w:ascii="宋体" w:hAnsi="宋体" w:eastAsia="宋体" w:cs="宋体"/>
                <w:color w:val="auto"/>
                <w:sz w:val="21"/>
                <w:szCs w:val="21"/>
                <w:highlight w:val="none"/>
                <w:lang w:bidi="ar"/>
              </w:rPr>
              <w:t>金属材质要求酸洗、磷化、电泳处理，</w:t>
            </w:r>
            <w:r>
              <w:rPr>
                <w:rStyle w:val="69"/>
                <w:rFonts w:hint="eastAsia" w:ascii="宋体" w:hAnsi="宋体" w:eastAsia="宋体" w:cs="宋体"/>
                <w:color w:val="auto"/>
                <w:sz w:val="21"/>
                <w:szCs w:val="21"/>
                <w:highlight w:val="none"/>
                <w:lang w:bidi="ar"/>
              </w:rPr>
              <w:t>PVC</w:t>
            </w:r>
            <w:r>
              <w:rPr>
                <w:rStyle w:val="68"/>
                <w:rFonts w:hint="eastAsia" w:ascii="宋体" w:hAnsi="宋体" w:eastAsia="宋体" w:cs="宋体"/>
                <w:color w:val="auto"/>
                <w:sz w:val="21"/>
                <w:szCs w:val="21"/>
                <w:highlight w:val="none"/>
                <w:lang w:bidi="ar"/>
              </w:rPr>
              <w:t>模具件封口。</w:t>
            </w:r>
          </w:p>
          <w:p w14:paraId="4836DE11">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auto"/>
                <w:sz w:val="21"/>
                <w:szCs w:val="21"/>
                <w:highlight w:val="none"/>
                <w:lang w:bidi="ar"/>
              </w:rPr>
            </w:pPr>
            <w:r>
              <w:rPr>
                <w:rStyle w:val="69"/>
                <w:rFonts w:hint="eastAsia" w:ascii="宋体" w:hAnsi="宋体" w:eastAsia="宋体" w:cs="宋体"/>
                <w:color w:val="auto"/>
                <w:sz w:val="21"/>
                <w:szCs w:val="21"/>
                <w:highlight w:val="none"/>
                <w:lang w:bidi="ar"/>
              </w:rPr>
              <w:t xml:space="preserve">  2.</w:t>
            </w:r>
            <w:r>
              <w:rPr>
                <w:rStyle w:val="68"/>
                <w:rFonts w:hint="eastAsia" w:ascii="宋体" w:hAnsi="宋体" w:eastAsia="宋体" w:cs="宋体"/>
                <w:color w:val="auto"/>
                <w:sz w:val="21"/>
                <w:szCs w:val="21"/>
                <w:highlight w:val="none"/>
                <w:lang w:bidi="ar"/>
              </w:rPr>
              <w:t>柜体：</w:t>
            </w:r>
          </w:p>
          <w:p w14:paraId="54E950A7">
            <w:pPr>
              <w:keepNext w:val="0"/>
              <w:keepLines w:val="0"/>
              <w:pageBreakBefore w:val="0"/>
              <w:kinsoku/>
              <w:overflowPunct/>
              <w:topLinePunct w:val="0"/>
              <w:bidi w:val="0"/>
              <w:snapToGrid/>
              <w:spacing w:after="0" w:line="440" w:lineRule="exact"/>
              <w:textAlignment w:val="auto"/>
              <w:rPr>
                <w:rStyle w:val="69"/>
                <w:rFonts w:hint="eastAsia" w:ascii="宋体" w:hAnsi="宋体" w:eastAsia="宋体" w:cs="宋体"/>
                <w:color w:val="auto"/>
                <w:sz w:val="21"/>
                <w:szCs w:val="21"/>
                <w:highlight w:val="none"/>
                <w:lang w:bidi="ar"/>
              </w:rPr>
            </w:pPr>
            <w:r>
              <w:rPr>
                <w:rStyle w:val="69"/>
                <w:rFonts w:hint="eastAsia" w:ascii="宋体" w:hAnsi="宋体" w:eastAsia="宋体" w:cs="宋体"/>
                <w:color w:val="auto"/>
                <w:sz w:val="21"/>
                <w:szCs w:val="21"/>
                <w:highlight w:val="none"/>
                <w:lang w:bidi="ar"/>
              </w:rPr>
              <w:t>2.1</w:t>
            </w:r>
            <w:r>
              <w:rPr>
                <w:rStyle w:val="68"/>
                <w:rFonts w:hint="eastAsia" w:ascii="宋体" w:hAnsi="宋体" w:eastAsia="宋体" w:cs="宋体"/>
                <w:color w:val="auto"/>
                <w:sz w:val="21"/>
                <w:szCs w:val="21"/>
                <w:highlight w:val="none"/>
                <w:lang w:bidi="ar"/>
              </w:rPr>
              <w:t>屉、门</w:t>
            </w:r>
            <w:r>
              <w:rPr>
                <w:rStyle w:val="69"/>
                <w:rFonts w:hint="eastAsia" w:ascii="宋体" w:hAnsi="宋体" w:eastAsia="宋体" w:cs="宋体"/>
                <w:color w:val="auto"/>
                <w:sz w:val="21"/>
                <w:szCs w:val="21"/>
                <w:highlight w:val="none"/>
                <w:lang w:bidi="ar"/>
              </w:rPr>
              <w:t xml:space="preserve"> </w:t>
            </w:r>
            <w:r>
              <w:rPr>
                <w:rStyle w:val="68"/>
                <w:rFonts w:hint="eastAsia" w:ascii="宋体" w:hAnsi="宋体" w:eastAsia="宋体" w:cs="宋体"/>
                <w:color w:val="auto"/>
                <w:sz w:val="21"/>
                <w:szCs w:val="21"/>
                <w:highlight w:val="none"/>
                <w:lang w:bidi="ar"/>
              </w:rPr>
              <w:t>面板：采用≥</w:t>
            </w:r>
            <w:r>
              <w:rPr>
                <w:rStyle w:val="69"/>
                <w:rFonts w:hint="eastAsia" w:ascii="宋体" w:hAnsi="宋体" w:eastAsia="宋体" w:cs="宋体"/>
                <w:color w:val="auto"/>
                <w:sz w:val="21"/>
                <w:szCs w:val="21"/>
                <w:highlight w:val="none"/>
                <w:lang w:bidi="ar"/>
              </w:rPr>
              <w:t>18mm</w:t>
            </w:r>
            <w:r>
              <w:rPr>
                <w:rStyle w:val="68"/>
                <w:rFonts w:hint="eastAsia" w:ascii="宋体" w:hAnsi="宋体" w:eastAsia="宋体" w:cs="宋体"/>
                <w:color w:val="auto"/>
                <w:sz w:val="21"/>
                <w:szCs w:val="21"/>
                <w:highlight w:val="none"/>
                <w:lang w:bidi="ar"/>
              </w:rPr>
              <w:t>厚优质三聚氰胺板，采用优质≥</w:t>
            </w:r>
            <w:r>
              <w:rPr>
                <w:rStyle w:val="69"/>
                <w:rFonts w:hint="eastAsia" w:ascii="宋体" w:hAnsi="宋体" w:eastAsia="宋体" w:cs="宋体"/>
                <w:color w:val="auto"/>
                <w:sz w:val="21"/>
                <w:szCs w:val="21"/>
                <w:highlight w:val="none"/>
                <w:lang w:bidi="ar"/>
              </w:rPr>
              <w:t>2.0mmPVC</w:t>
            </w:r>
            <w:r>
              <w:rPr>
                <w:rStyle w:val="68"/>
                <w:rFonts w:hint="eastAsia" w:ascii="宋体" w:hAnsi="宋体" w:eastAsia="宋体" w:cs="宋体"/>
                <w:color w:val="auto"/>
                <w:sz w:val="21"/>
                <w:szCs w:val="21"/>
                <w:highlight w:val="none"/>
                <w:lang w:bidi="ar"/>
              </w:rPr>
              <w:t>材料整体封边。</w:t>
            </w:r>
            <w:r>
              <w:rPr>
                <w:rStyle w:val="69"/>
                <w:rFonts w:hint="eastAsia" w:ascii="宋体" w:hAnsi="宋体" w:eastAsia="宋体" w:cs="宋体"/>
                <w:color w:val="auto"/>
                <w:sz w:val="21"/>
                <w:szCs w:val="21"/>
                <w:highlight w:val="none"/>
                <w:lang w:bidi="ar"/>
              </w:rPr>
              <w:t xml:space="preserve"> </w:t>
            </w:r>
          </w:p>
          <w:p w14:paraId="6C677ACE">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auto"/>
                <w:sz w:val="21"/>
                <w:szCs w:val="21"/>
                <w:highlight w:val="none"/>
                <w:lang w:bidi="ar"/>
              </w:rPr>
            </w:pPr>
            <w:r>
              <w:rPr>
                <w:rStyle w:val="69"/>
                <w:rFonts w:hint="eastAsia" w:ascii="宋体" w:hAnsi="宋体" w:eastAsia="宋体" w:cs="宋体"/>
                <w:color w:val="auto"/>
                <w:sz w:val="21"/>
                <w:szCs w:val="21"/>
                <w:highlight w:val="none"/>
                <w:lang w:bidi="ar"/>
              </w:rPr>
              <w:t>2.2</w:t>
            </w:r>
            <w:r>
              <w:rPr>
                <w:rStyle w:val="68"/>
                <w:rFonts w:hint="eastAsia" w:ascii="宋体" w:hAnsi="宋体" w:eastAsia="宋体" w:cs="宋体"/>
                <w:color w:val="auto"/>
                <w:sz w:val="21"/>
                <w:szCs w:val="21"/>
                <w:highlight w:val="none"/>
                <w:lang w:bidi="ar"/>
              </w:rPr>
              <w:t>箱体：箱体采用≥</w:t>
            </w:r>
            <w:r>
              <w:rPr>
                <w:rStyle w:val="69"/>
                <w:rFonts w:hint="eastAsia" w:ascii="宋体" w:hAnsi="宋体" w:eastAsia="宋体" w:cs="宋体"/>
                <w:color w:val="auto"/>
                <w:sz w:val="21"/>
                <w:szCs w:val="21"/>
                <w:highlight w:val="none"/>
                <w:lang w:bidi="ar"/>
              </w:rPr>
              <w:t>18mm</w:t>
            </w:r>
            <w:r>
              <w:rPr>
                <w:rStyle w:val="68"/>
                <w:rFonts w:hint="eastAsia" w:ascii="宋体" w:hAnsi="宋体" w:eastAsia="宋体" w:cs="宋体"/>
                <w:color w:val="auto"/>
                <w:sz w:val="21"/>
                <w:szCs w:val="21"/>
                <w:highlight w:val="none"/>
                <w:lang w:bidi="ar"/>
              </w:rPr>
              <w:t>双面灰白色三聚氰胺板，四周边采用≥</w:t>
            </w:r>
            <w:r>
              <w:rPr>
                <w:rStyle w:val="69"/>
                <w:rFonts w:hint="eastAsia" w:ascii="宋体" w:hAnsi="宋体" w:eastAsia="宋体" w:cs="宋体"/>
                <w:color w:val="auto"/>
                <w:sz w:val="21"/>
                <w:szCs w:val="21"/>
                <w:highlight w:val="none"/>
                <w:lang w:bidi="ar"/>
              </w:rPr>
              <w:t>2.0mm</w:t>
            </w:r>
            <w:r>
              <w:rPr>
                <w:rStyle w:val="68"/>
                <w:rFonts w:hint="eastAsia" w:ascii="宋体" w:hAnsi="宋体" w:eastAsia="宋体" w:cs="宋体"/>
                <w:color w:val="auto"/>
                <w:sz w:val="21"/>
                <w:szCs w:val="21"/>
                <w:highlight w:val="none"/>
                <w:lang w:bidi="ar"/>
              </w:rPr>
              <w:t>厚优质</w:t>
            </w:r>
            <w:r>
              <w:rPr>
                <w:rStyle w:val="69"/>
                <w:rFonts w:hint="eastAsia" w:ascii="宋体" w:hAnsi="宋体" w:eastAsia="宋体" w:cs="宋体"/>
                <w:color w:val="auto"/>
                <w:sz w:val="21"/>
                <w:szCs w:val="21"/>
                <w:highlight w:val="none"/>
                <w:lang w:bidi="ar"/>
              </w:rPr>
              <w:t>PVC</w:t>
            </w:r>
            <w:r>
              <w:rPr>
                <w:rStyle w:val="68"/>
                <w:rFonts w:hint="eastAsia" w:ascii="宋体" w:hAnsi="宋体" w:eastAsia="宋体" w:cs="宋体"/>
                <w:color w:val="auto"/>
                <w:sz w:val="21"/>
                <w:szCs w:val="21"/>
                <w:highlight w:val="none"/>
                <w:lang w:bidi="ar"/>
              </w:rPr>
              <w:t>封边及防水处理，所有板件采用拆装式三合一连接；</w:t>
            </w:r>
            <w:r>
              <w:rPr>
                <w:rStyle w:val="69"/>
                <w:rFonts w:hint="eastAsia" w:ascii="宋体" w:hAnsi="宋体" w:eastAsia="宋体" w:cs="宋体"/>
                <w:color w:val="auto"/>
                <w:sz w:val="21"/>
                <w:szCs w:val="21"/>
                <w:highlight w:val="none"/>
                <w:lang w:bidi="ar"/>
              </w:rPr>
              <w:t xml:space="preserve"> </w:t>
            </w:r>
            <w:r>
              <w:rPr>
                <w:rStyle w:val="68"/>
                <w:rFonts w:hint="eastAsia" w:ascii="宋体" w:hAnsi="宋体" w:eastAsia="宋体" w:cs="宋体"/>
                <w:color w:val="auto"/>
                <w:sz w:val="21"/>
                <w:szCs w:val="21"/>
                <w:highlight w:val="none"/>
                <w:lang w:bidi="ar"/>
              </w:rPr>
              <w:t>颜色为宝石蓝。</w:t>
            </w:r>
          </w:p>
          <w:p w14:paraId="5F36C709">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auto"/>
                <w:sz w:val="21"/>
                <w:szCs w:val="21"/>
                <w:highlight w:val="none"/>
                <w:lang w:bidi="ar"/>
              </w:rPr>
            </w:pPr>
            <w:r>
              <w:rPr>
                <w:rStyle w:val="69"/>
                <w:rFonts w:hint="eastAsia" w:ascii="宋体" w:hAnsi="宋体" w:eastAsia="宋体" w:cs="宋体"/>
                <w:color w:val="auto"/>
                <w:sz w:val="21"/>
                <w:szCs w:val="21"/>
                <w:highlight w:val="none"/>
                <w:lang w:bidi="ar"/>
              </w:rPr>
              <w:t>2.3</w:t>
            </w:r>
            <w:r>
              <w:rPr>
                <w:rStyle w:val="68"/>
                <w:rFonts w:hint="eastAsia" w:ascii="宋体" w:hAnsi="宋体" w:eastAsia="宋体" w:cs="宋体"/>
                <w:color w:val="auto"/>
                <w:sz w:val="21"/>
                <w:szCs w:val="21"/>
                <w:highlight w:val="none"/>
                <w:lang w:bidi="ar"/>
              </w:rPr>
              <w:t>拉手：采用明装拉手。</w:t>
            </w:r>
          </w:p>
          <w:p w14:paraId="5F8D61BD">
            <w:pPr>
              <w:keepNext w:val="0"/>
              <w:keepLines w:val="0"/>
              <w:pageBreakBefore w:val="0"/>
              <w:kinsoku/>
              <w:overflowPunct/>
              <w:topLinePunct w:val="0"/>
              <w:bidi w:val="0"/>
              <w:snapToGrid/>
              <w:spacing w:after="0" w:line="440" w:lineRule="exact"/>
              <w:textAlignment w:val="auto"/>
              <w:rPr>
                <w:rStyle w:val="69"/>
                <w:rFonts w:hint="eastAsia" w:ascii="宋体" w:hAnsi="宋体" w:eastAsia="宋体" w:cs="宋体"/>
                <w:color w:val="auto"/>
                <w:sz w:val="21"/>
                <w:szCs w:val="21"/>
                <w:highlight w:val="none"/>
                <w:lang w:bidi="ar"/>
              </w:rPr>
            </w:pPr>
            <w:r>
              <w:rPr>
                <w:rStyle w:val="69"/>
                <w:rFonts w:hint="eastAsia" w:ascii="宋体" w:hAnsi="宋体" w:eastAsia="宋体" w:cs="宋体"/>
                <w:color w:val="auto"/>
                <w:sz w:val="21"/>
                <w:szCs w:val="21"/>
                <w:highlight w:val="none"/>
                <w:lang w:bidi="ar"/>
              </w:rPr>
              <w:t>2.4</w:t>
            </w:r>
            <w:r>
              <w:rPr>
                <w:rStyle w:val="68"/>
                <w:rFonts w:hint="eastAsia" w:ascii="宋体" w:hAnsi="宋体" w:eastAsia="宋体" w:cs="宋体"/>
                <w:color w:val="auto"/>
                <w:sz w:val="21"/>
                <w:szCs w:val="21"/>
                <w:highlight w:val="none"/>
                <w:lang w:bidi="ar"/>
              </w:rPr>
              <w:t>导轨；采用三节静音阻尼轨道，具备较好的承重能力。</w:t>
            </w:r>
            <w:r>
              <w:rPr>
                <w:rStyle w:val="69"/>
                <w:rFonts w:hint="eastAsia" w:ascii="宋体" w:hAnsi="宋体" w:eastAsia="宋体" w:cs="宋体"/>
                <w:color w:val="auto"/>
                <w:sz w:val="21"/>
                <w:szCs w:val="21"/>
                <w:highlight w:val="none"/>
                <w:lang w:bidi="ar"/>
              </w:rPr>
              <w:t xml:space="preserve"> </w:t>
            </w:r>
          </w:p>
          <w:p w14:paraId="4A7DAE35">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auto"/>
                <w:sz w:val="21"/>
                <w:szCs w:val="21"/>
                <w:highlight w:val="none"/>
                <w:lang w:bidi="ar"/>
              </w:rPr>
            </w:pPr>
            <w:r>
              <w:rPr>
                <w:rStyle w:val="69"/>
                <w:rFonts w:hint="eastAsia" w:ascii="宋体" w:hAnsi="宋体" w:eastAsia="宋体" w:cs="宋体"/>
                <w:color w:val="auto"/>
                <w:sz w:val="21"/>
                <w:szCs w:val="21"/>
                <w:highlight w:val="none"/>
                <w:lang w:bidi="ar"/>
              </w:rPr>
              <w:t>2.5</w:t>
            </w:r>
            <w:r>
              <w:rPr>
                <w:rStyle w:val="68"/>
                <w:rFonts w:hint="eastAsia" w:ascii="宋体" w:hAnsi="宋体" w:eastAsia="宋体" w:cs="宋体"/>
                <w:color w:val="auto"/>
                <w:sz w:val="21"/>
                <w:szCs w:val="21"/>
                <w:highlight w:val="none"/>
                <w:lang w:bidi="ar"/>
              </w:rPr>
              <w:t>缓冲铰链：可拆除，非焊接结构，螺丝连接，开启角度</w:t>
            </w:r>
            <w:r>
              <w:rPr>
                <w:rStyle w:val="69"/>
                <w:rFonts w:hint="eastAsia" w:ascii="宋体" w:hAnsi="宋体" w:eastAsia="宋体" w:cs="宋体"/>
                <w:color w:val="auto"/>
                <w:sz w:val="21"/>
                <w:szCs w:val="21"/>
                <w:highlight w:val="none"/>
                <w:lang w:bidi="ar"/>
              </w:rPr>
              <w:t>90</w:t>
            </w:r>
            <w:r>
              <w:rPr>
                <w:rStyle w:val="70"/>
                <w:rFonts w:hint="eastAsia" w:ascii="宋体" w:hAnsi="宋体" w:eastAsia="宋体" w:cs="宋体"/>
                <w:color w:val="auto"/>
                <w:sz w:val="21"/>
                <w:szCs w:val="21"/>
                <w:highlight w:val="none"/>
                <w:lang w:bidi="ar"/>
              </w:rPr>
              <w:t>゜</w:t>
            </w:r>
            <w:r>
              <w:rPr>
                <w:rStyle w:val="68"/>
                <w:rFonts w:hint="eastAsia" w:ascii="宋体" w:hAnsi="宋体" w:eastAsia="宋体" w:cs="宋体"/>
                <w:color w:val="auto"/>
                <w:sz w:val="21"/>
                <w:szCs w:val="21"/>
                <w:highlight w:val="none"/>
                <w:lang w:bidi="ar"/>
              </w:rPr>
              <w:t>。</w:t>
            </w:r>
          </w:p>
          <w:p w14:paraId="2C5337B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lang w:eastAsia="zh-CN"/>
              </w:rPr>
            </w:pPr>
            <w:r>
              <w:rPr>
                <w:rStyle w:val="69"/>
                <w:rFonts w:hint="eastAsia" w:ascii="宋体" w:hAnsi="宋体" w:eastAsia="宋体" w:cs="宋体"/>
                <w:color w:val="auto"/>
                <w:sz w:val="21"/>
                <w:szCs w:val="21"/>
                <w:highlight w:val="none"/>
                <w:lang w:bidi="ar"/>
              </w:rPr>
              <w:t>2.6</w:t>
            </w:r>
            <w:r>
              <w:rPr>
                <w:rStyle w:val="68"/>
                <w:rFonts w:hint="eastAsia" w:ascii="宋体" w:hAnsi="宋体" w:eastAsia="宋体" w:cs="宋体"/>
                <w:color w:val="auto"/>
                <w:sz w:val="21"/>
                <w:szCs w:val="21"/>
                <w:highlight w:val="none"/>
                <w:lang w:bidi="ar"/>
              </w:rPr>
              <w:t>可调脚：采用</w:t>
            </w:r>
            <w:r>
              <w:rPr>
                <w:rStyle w:val="69"/>
                <w:rFonts w:hint="eastAsia" w:ascii="宋体" w:hAnsi="宋体" w:eastAsia="宋体" w:cs="宋体"/>
                <w:color w:val="auto"/>
                <w:sz w:val="21"/>
                <w:szCs w:val="21"/>
                <w:highlight w:val="none"/>
                <w:lang w:bidi="ar"/>
              </w:rPr>
              <w:t>M12</w:t>
            </w:r>
            <w:r>
              <w:rPr>
                <w:rStyle w:val="68"/>
                <w:rFonts w:hint="eastAsia" w:ascii="宋体" w:hAnsi="宋体" w:eastAsia="宋体" w:cs="宋体"/>
                <w:color w:val="auto"/>
                <w:sz w:val="21"/>
                <w:szCs w:val="21"/>
                <w:highlight w:val="none"/>
                <w:lang w:bidi="ar"/>
              </w:rPr>
              <w:t>不锈钢橡胶材质制成。可根据室内地坪适当调整柜体高度</w:t>
            </w:r>
            <w:r>
              <w:rPr>
                <w:rStyle w:val="69"/>
                <w:rFonts w:hint="eastAsia" w:ascii="宋体" w:hAnsi="宋体" w:eastAsia="宋体" w:cs="宋体"/>
                <w:color w:val="auto"/>
                <w:sz w:val="21"/>
                <w:szCs w:val="21"/>
                <w:highlight w:val="none"/>
                <w:lang w:bidi="ar"/>
              </w:rPr>
              <w:t>0-40mm</w:t>
            </w:r>
            <w:r>
              <w:rPr>
                <w:rStyle w:val="69"/>
                <w:rFonts w:hint="eastAsia" w:ascii="宋体" w:hAnsi="宋体" w:eastAsia="宋体" w:cs="宋体"/>
                <w:color w:val="auto"/>
                <w:sz w:val="21"/>
                <w:szCs w:val="21"/>
                <w:highlight w:val="none"/>
                <w:lang w:eastAsia="zh-CN" w:bidi="ar"/>
              </w:rPr>
              <w:t>。</w:t>
            </w:r>
          </w:p>
        </w:tc>
        <w:tc>
          <w:tcPr>
            <w:tcW w:w="594" w:type="dxa"/>
            <w:noWrap w:val="0"/>
            <w:vAlign w:val="center"/>
          </w:tcPr>
          <w:p w14:paraId="7FFB863C">
            <w:pPr>
              <w:keepNext w:val="0"/>
              <w:keepLines w:val="0"/>
              <w:pageBreakBefore w:val="0"/>
              <w:kinsoku/>
              <w:overflowPunct/>
              <w:topLinePunct w:val="0"/>
              <w:bidi w:val="0"/>
              <w:snapToGrid/>
              <w:spacing w:after="0"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台</w:t>
            </w:r>
          </w:p>
        </w:tc>
        <w:tc>
          <w:tcPr>
            <w:tcW w:w="491" w:type="dxa"/>
            <w:noWrap w:val="0"/>
            <w:vAlign w:val="center"/>
          </w:tcPr>
          <w:p w14:paraId="6E15DC4B">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10</w:t>
            </w:r>
          </w:p>
        </w:tc>
      </w:tr>
      <w:tr w14:paraId="43763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59789F0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5</w:t>
            </w:r>
          </w:p>
        </w:tc>
        <w:tc>
          <w:tcPr>
            <w:tcW w:w="1483" w:type="dxa"/>
            <w:noWrap w:val="0"/>
            <w:vAlign w:val="center"/>
          </w:tcPr>
          <w:p w14:paraId="46899B9B">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涂料耐洗刷性测定仪</w:t>
            </w:r>
          </w:p>
        </w:tc>
        <w:tc>
          <w:tcPr>
            <w:tcW w:w="5339" w:type="dxa"/>
            <w:noWrap/>
            <w:vAlign w:val="center"/>
          </w:tcPr>
          <w:p w14:paraId="26A4B82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1、刷子规格：38×90mm的底板上均布60个Ǿ3口，穿猪鬃长19mm。</w:t>
            </w:r>
          </w:p>
          <w:p w14:paraId="5D0FF0B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2、刷子自重（包括刷具）：450±2g。</w:t>
            </w:r>
          </w:p>
          <w:p w14:paraId="712B2E6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3、刷子往复行程：300mm。</w:t>
            </w:r>
          </w:p>
          <w:p w14:paraId="38D3292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4、刷子运行频率：37±2次/min。</w:t>
            </w:r>
          </w:p>
          <w:p w14:paraId="6EAC0C0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5、计数器：4位。</w:t>
            </w:r>
          </w:p>
          <w:p w14:paraId="051A96E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bidi="ar"/>
              </w:rPr>
              <w:t>、电源：220V   50Hz.</w:t>
            </w:r>
          </w:p>
        </w:tc>
        <w:tc>
          <w:tcPr>
            <w:tcW w:w="594" w:type="dxa"/>
            <w:noWrap w:val="0"/>
            <w:vAlign w:val="center"/>
          </w:tcPr>
          <w:p w14:paraId="3A74E345">
            <w:pPr>
              <w:keepNext w:val="0"/>
              <w:keepLines w:val="0"/>
              <w:pageBreakBefore w:val="0"/>
              <w:kinsoku/>
              <w:overflowPunct/>
              <w:topLinePunct w:val="0"/>
              <w:bidi w:val="0"/>
              <w:snapToGrid/>
              <w:spacing w:after="0"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台</w:t>
            </w:r>
          </w:p>
        </w:tc>
        <w:tc>
          <w:tcPr>
            <w:tcW w:w="491" w:type="dxa"/>
            <w:noWrap w:val="0"/>
            <w:vAlign w:val="center"/>
          </w:tcPr>
          <w:p w14:paraId="0A5DDEB4">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w:t>
            </w:r>
          </w:p>
        </w:tc>
      </w:tr>
      <w:tr w14:paraId="57A27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373AA19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6</w:t>
            </w:r>
          </w:p>
        </w:tc>
        <w:tc>
          <w:tcPr>
            <w:tcW w:w="1483" w:type="dxa"/>
            <w:noWrap w:val="0"/>
            <w:vAlign w:val="center"/>
          </w:tcPr>
          <w:p w14:paraId="1D5EFFCB">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实验室分散机</w:t>
            </w:r>
          </w:p>
        </w:tc>
        <w:tc>
          <w:tcPr>
            <w:tcW w:w="5339" w:type="dxa"/>
            <w:noWrap/>
            <w:vAlign w:val="center"/>
          </w:tcPr>
          <w:p w14:paraId="21B44AB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1.电动机</w:t>
            </w:r>
            <w:r>
              <w:rPr>
                <w:rFonts w:hint="eastAsia" w:ascii="宋体" w:hAnsi="宋体" w:eastAsia="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bidi="ar"/>
              </w:rPr>
              <w:t>　400W　220V　</w:t>
            </w:r>
          </w:p>
          <w:p w14:paraId="37F7244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2.调整范围：　100-8000r/min</w:t>
            </w:r>
          </w:p>
          <w:p w14:paraId="1FCB204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 xml:space="preserve">3.搅拌分散叶轮直径：￠60mm </w:t>
            </w:r>
            <w:r>
              <w:rPr>
                <w:rFonts w:hint="eastAsia" w:ascii="宋体" w:hAnsi="宋体" w:eastAsia="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bidi="ar"/>
              </w:rPr>
              <w:t>￠50mm</w:t>
            </w:r>
          </w:p>
          <w:p w14:paraId="7A609DD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4.砂磨盘直径：</w:t>
            </w:r>
            <w:r>
              <w:rPr>
                <w:rStyle w:val="68"/>
                <w:rFonts w:hint="eastAsia" w:ascii="宋体" w:hAnsi="宋体" w:eastAsia="宋体" w:cs="宋体"/>
                <w:color w:val="auto"/>
                <w:sz w:val="21"/>
                <w:szCs w:val="21"/>
                <w:highlight w:val="none"/>
                <w:lang w:bidi="ar"/>
              </w:rPr>
              <w:t>≥</w:t>
            </w:r>
            <w:r>
              <w:rPr>
                <w:rFonts w:hint="eastAsia" w:ascii="宋体" w:hAnsi="宋体" w:eastAsia="宋体" w:cs="宋体"/>
                <w:color w:val="auto"/>
                <w:kern w:val="0"/>
                <w:sz w:val="21"/>
                <w:szCs w:val="21"/>
                <w:highlight w:val="none"/>
                <w:lang w:bidi="ar"/>
              </w:rPr>
              <w:t>￠60mm</w:t>
            </w:r>
          </w:p>
          <w:p w14:paraId="3DDF270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5.升降行程：</w:t>
            </w:r>
            <w:r>
              <w:rPr>
                <w:rStyle w:val="68"/>
                <w:rFonts w:hint="eastAsia" w:ascii="宋体" w:hAnsi="宋体" w:eastAsia="宋体" w:cs="宋体"/>
                <w:color w:val="auto"/>
                <w:sz w:val="21"/>
                <w:szCs w:val="21"/>
                <w:highlight w:val="none"/>
                <w:lang w:bidi="ar"/>
              </w:rPr>
              <w:t>≥</w:t>
            </w:r>
            <w:r>
              <w:rPr>
                <w:rFonts w:hint="eastAsia" w:ascii="宋体" w:hAnsi="宋体" w:eastAsia="宋体" w:cs="宋体"/>
                <w:color w:val="auto"/>
                <w:kern w:val="0"/>
                <w:sz w:val="21"/>
                <w:szCs w:val="21"/>
                <w:highlight w:val="none"/>
                <w:lang w:bidi="ar"/>
              </w:rPr>
              <w:t>250mm</w:t>
            </w:r>
          </w:p>
        </w:tc>
        <w:tc>
          <w:tcPr>
            <w:tcW w:w="594" w:type="dxa"/>
            <w:noWrap w:val="0"/>
            <w:vAlign w:val="center"/>
          </w:tcPr>
          <w:p w14:paraId="474E7CBA">
            <w:pPr>
              <w:keepNext w:val="0"/>
              <w:keepLines w:val="0"/>
              <w:pageBreakBefore w:val="0"/>
              <w:kinsoku/>
              <w:overflowPunct/>
              <w:topLinePunct w:val="0"/>
              <w:bidi w:val="0"/>
              <w:snapToGrid/>
              <w:spacing w:after="0"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台</w:t>
            </w:r>
          </w:p>
        </w:tc>
        <w:tc>
          <w:tcPr>
            <w:tcW w:w="491" w:type="dxa"/>
            <w:noWrap w:val="0"/>
            <w:vAlign w:val="center"/>
          </w:tcPr>
          <w:p w14:paraId="74BC1760">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w:t>
            </w:r>
          </w:p>
        </w:tc>
      </w:tr>
      <w:tr w14:paraId="61737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36920FF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7</w:t>
            </w:r>
          </w:p>
        </w:tc>
        <w:tc>
          <w:tcPr>
            <w:tcW w:w="1483" w:type="dxa"/>
            <w:noWrap w:val="0"/>
            <w:vAlign w:val="center"/>
          </w:tcPr>
          <w:p w14:paraId="14318C36">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自动涂膜器</w:t>
            </w:r>
          </w:p>
        </w:tc>
        <w:tc>
          <w:tcPr>
            <w:tcW w:w="5339" w:type="dxa"/>
            <w:noWrap/>
            <w:vAlign w:val="center"/>
          </w:tcPr>
          <w:p w14:paraId="3C2F74F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1、涂布底座尺寸：400mm*280mm（长*宽）</w:t>
            </w:r>
          </w:p>
          <w:p w14:paraId="44B304A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2、可真空尺寸：  300mm*210mm（长*宽）</w:t>
            </w:r>
          </w:p>
          <w:p w14:paraId="5330B68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3、可涂布长度：  最长350mm</w:t>
            </w:r>
          </w:p>
          <w:p w14:paraId="6A9E230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4、涂布速度：    0~10cm/s无极变速</w:t>
            </w:r>
          </w:p>
          <w:p w14:paraId="04BF5A7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5、总功率：</w:t>
            </w:r>
            <w:r>
              <w:rPr>
                <w:rStyle w:val="68"/>
                <w:rFonts w:hint="eastAsia" w:ascii="宋体" w:hAnsi="宋体" w:eastAsia="宋体" w:cs="宋体"/>
                <w:color w:val="auto"/>
                <w:sz w:val="21"/>
                <w:szCs w:val="21"/>
                <w:highlight w:val="none"/>
                <w:lang w:bidi="ar"/>
              </w:rPr>
              <w:t>≥</w:t>
            </w:r>
            <w:r>
              <w:rPr>
                <w:rFonts w:hint="eastAsia" w:ascii="宋体" w:hAnsi="宋体" w:eastAsia="宋体" w:cs="宋体"/>
                <w:color w:val="auto"/>
                <w:kern w:val="0"/>
                <w:sz w:val="21"/>
                <w:szCs w:val="21"/>
                <w:highlight w:val="none"/>
                <w:lang w:bidi="ar"/>
              </w:rPr>
              <w:t xml:space="preserve"> 350W</w:t>
            </w:r>
          </w:p>
        </w:tc>
        <w:tc>
          <w:tcPr>
            <w:tcW w:w="594" w:type="dxa"/>
            <w:noWrap w:val="0"/>
            <w:vAlign w:val="center"/>
          </w:tcPr>
          <w:p w14:paraId="063AF6C1">
            <w:pPr>
              <w:keepNext w:val="0"/>
              <w:keepLines w:val="0"/>
              <w:pageBreakBefore w:val="0"/>
              <w:kinsoku/>
              <w:overflowPunct/>
              <w:topLinePunct w:val="0"/>
              <w:bidi w:val="0"/>
              <w:snapToGrid/>
              <w:spacing w:after="0"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台</w:t>
            </w:r>
          </w:p>
        </w:tc>
        <w:tc>
          <w:tcPr>
            <w:tcW w:w="491" w:type="dxa"/>
            <w:noWrap w:val="0"/>
            <w:vAlign w:val="center"/>
          </w:tcPr>
          <w:p w14:paraId="177933E0">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w:t>
            </w:r>
          </w:p>
        </w:tc>
      </w:tr>
      <w:tr w14:paraId="181E5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3CD0631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8</w:t>
            </w:r>
          </w:p>
        </w:tc>
        <w:tc>
          <w:tcPr>
            <w:tcW w:w="1483" w:type="dxa"/>
            <w:noWrap w:val="0"/>
            <w:vAlign w:val="center"/>
          </w:tcPr>
          <w:p w14:paraId="3263CE36">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单列双孔水浴锅</w:t>
            </w:r>
          </w:p>
        </w:tc>
        <w:tc>
          <w:tcPr>
            <w:tcW w:w="5339" w:type="dxa"/>
            <w:noWrap/>
            <w:vAlign w:val="center"/>
          </w:tcPr>
          <w:p w14:paraId="78CDE18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双孔</w:t>
            </w:r>
          </w:p>
          <w:p w14:paraId="7960646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额定功率：500W</w:t>
            </w:r>
          </w:p>
          <w:p w14:paraId="092A440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电源电压：220V  50HZ</w:t>
            </w:r>
          </w:p>
          <w:p w14:paraId="4A5F691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温度均匀度：≤±1°C</w:t>
            </w:r>
          </w:p>
          <w:p w14:paraId="23DA011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控温范围： RT+10-100°C</w:t>
            </w:r>
          </w:p>
          <w:p w14:paraId="2916F63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控温灵敏度： ≤±1°C</w:t>
            </w:r>
          </w:p>
          <w:p w14:paraId="3645299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示值误差： ≤±1°C</w:t>
            </w:r>
          </w:p>
          <w:p w14:paraId="0331629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材质：304不锈钢</w:t>
            </w:r>
          </w:p>
        </w:tc>
        <w:tc>
          <w:tcPr>
            <w:tcW w:w="594" w:type="dxa"/>
            <w:noWrap w:val="0"/>
            <w:vAlign w:val="center"/>
          </w:tcPr>
          <w:p w14:paraId="79ECB303">
            <w:pPr>
              <w:keepNext w:val="0"/>
              <w:keepLines w:val="0"/>
              <w:pageBreakBefore w:val="0"/>
              <w:kinsoku/>
              <w:overflowPunct/>
              <w:topLinePunct w:val="0"/>
              <w:bidi w:val="0"/>
              <w:snapToGrid/>
              <w:spacing w:after="0"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台</w:t>
            </w:r>
          </w:p>
        </w:tc>
        <w:tc>
          <w:tcPr>
            <w:tcW w:w="491" w:type="dxa"/>
            <w:noWrap w:val="0"/>
            <w:vAlign w:val="center"/>
          </w:tcPr>
          <w:p w14:paraId="173CCAF4">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10</w:t>
            </w:r>
          </w:p>
        </w:tc>
      </w:tr>
      <w:tr w14:paraId="1CF20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24E1174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9</w:t>
            </w:r>
          </w:p>
        </w:tc>
        <w:tc>
          <w:tcPr>
            <w:tcW w:w="1483" w:type="dxa"/>
            <w:noWrap w:val="0"/>
            <w:vAlign w:val="center"/>
          </w:tcPr>
          <w:p w14:paraId="5CD81844">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电热套</w:t>
            </w:r>
          </w:p>
        </w:tc>
        <w:tc>
          <w:tcPr>
            <w:tcW w:w="5339" w:type="dxa"/>
            <w:noWrap/>
            <w:vAlign w:val="center"/>
          </w:tcPr>
          <w:p w14:paraId="034EB2D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容量：500ml</w:t>
            </w:r>
          </w:p>
          <w:p w14:paraId="64DD357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控温范围：0-380℃</w:t>
            </w:r>
          </w:p>
          <w:p w14:paraId="11C9B0B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额定功率：300W</w:t>
            </w:r>
          </w:p>
          <w:p w14:paraId="193F630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工作时间：连续</w:t>
            </w:r>
          </w:p>
          <w:p w14:paraId="66E62B0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控温精度：≤±1℃</w:t>
            </w:r>
          </w:p>
          <w:p w14:paraId="7D5A5F1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搅拌速度：0-3000r/min</w:t>
            </w:r>
          </w:p>
          <w:p w14:paraId="555C655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搅拌功率：≤60W</w:t>
            </w:r>
          </w:p>
        </w:tc>
        <w:tc>
          <w:tcPr>
            <w:tcW w:w="594" w:type="dxa"/>
            <w:noWrap w:val="0"/>
            <w:vAlign w:val="center"/>
          </w:tcPr>
          <w:p w14:paraId="0F4AFBC8">
            <w:pPr>
              <w:keepNext w:val="0"/>
              <w:keepLines w:val="0"/>
              <w:pageBreakBefore w:val="0"/>
              <w:kinsoku/>
              <w:overflowPunct/>
              <w:topLinePunct w:val="0"/>
              <w:bidi w:val="0"/>
              <w:snapToGrid/>
              <w:spacing w:after="0"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台</w:t>
            </w:r>
          </w:p>
        </w:tc>
        <w:tc>
          <w:tcPr>
            <w:tcW w:w="491" w:type="dxa"/>
            <w:noWrap w:val="0"/>
            <w:vAlign w:val="center"/>
          </w:tcPr>
          <w:p w14:paraId="046E5F29">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10</w:t>
            </w:r>
          </w:p>
        </w:tc>
      </w:tr>
      <w:tr w14:paraId="767FB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78AA785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10</w:t>
            </w:r>
          </w:p>
        </w:tc>
        <w:tc>
          <w:tcPr>
            <w:tcW w:w="1483" w:type="dxa"/>
            <w:noWrap w:val="0"/>
            <w:vAlign w:val="center"/>
          </w:tcPr>
          <w:p w14:paraId="3EA10461">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rPr>
              <w:t>电动搅拌器</w:t>
            </w:r>
          </w:p>
        </w:tc>
        <w:tc>
          <w:tcPr>
            <w:tcW w:w="5339" w:type="dxa"/>
            <w:noWrap/>
            <w:vAlign w:val="center"/>
          </w:tcPr>
          <w:p w14:paraId="500B7A7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功率：≥60W</w:t>
            </w:r>
          </w:p>
          <w:p w14:paraId="1F229ED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电机：24V</w:t>
            </w:r>
          </w:p>
          <w:p w14:paraId="4B79887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转速：0-2000智能数显控制</w:t>
            </w:r>
          </w:p>
        </w:tc>
        <w:tc>
          <w:tcPr>
            <w:tcW w:w="594" w:type="dxa"/>
            <w:noWrap w:val="0"/>
            <w:vAlign w:val="center"/>
          </w:tcPr>
          <w:p w14:paraId="24A366B2">
            <w:pPr>
              <w:keepNext w:val="0"/>
              <w:keepLines w:val="0"/>
              <w:pageBreakBefore w:val="0"/>
              <w:kinsoku/>
              <w:overflowPunct/>
              <w:topLinePunct w:val="0"/>
              <w:bidi w:val="0"/>
              <w:snapToGrid/>
              <w:spacing w:after="0"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台</w:t>
            </w:r>
          </w:p>
        </w:tc>
        <w:tc>
          <w:tcPr>
            <w:tcW w:w="491" w:type="dxa"/>
            <w:noWrap w:val="0"/>
            <w:vAlign w:val="center"/>
          </w:tcPr>
          <w:p w14:paraId="3EB959E6">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10</w:t>
            </w:r>
          </w:p>
        </w:tc>
      </w:tr>
      <w:tr w14:paraId="45615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4F02153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11</w:t>
            </w:r>
          </w:p>
        </w:tc>
        <w:tc>
          <w:tcPr>
            <w:tcW w:w="1483" w:type="dxa"/>
            <w:noWrap w:val="0"/>
            <w:vAlign w:val="center"/>
          </w:tcPr>
          <w:p w14:paraId="118DC438">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bidi="ar"/>
              </w:rPr>
              <w:t>氙灯耐气候试验箱</w:t>
            </w:r>
          </w:p>
        </w:tc>
        <w:tc>
          <w:tcPr>
            <w:tcW w:w="5339" w:type="dxa"/>
            <w:noWrap/>
            <w:vAlign w:val="center"/>
          </w:tcPr>
          <w:p w14:paraId="7015BE4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触摸屏控制器</w:t>
            </w:r>
          </w:p>
          <w:p w14:paraId="133BBEC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 xml:space="preserve">● </w:t>
            </w:r>
            <w:r>
              <w:rPr>
                <w:rFonts w:hint="eastAsia" w:ascii="宋体" w:hAnsi="宋体" w:eastAsia="宋体" w:cs="宋体"/>
                <w:color w:val="auto"/>
                <w:kern w:val="0"/>
                <w:sz w:val="21"/>
                <w:szCs w:val="21"/>
                <w:highlight w:val="none"/>
                <w:lang w:val="en-US" w:eastAsia="zh-CN" w:bidi="ar"/>
              </w:rPr>
              <w:t>不小于</w:t>
            </w:r>
            <w:r>
              <w:rPr>
                <w:rFonts w:hint="eastAsia" w:ascii="宋体" w:hAnsi="宋体" w:eastAsia="宋体" w:cs="宋体"/>
                <w:color w:val="auto"/>
                <w:kern w:val="0"/>
                <w:sz w:val="21"/>
                <w:szCs w:val="21"/>
                <w:highlight w:val="none"/>
                <w:lang w:bidi="ar"/>
              </w:rPr>
              <w:t>9.7寸触摸屏，各种数据一屏显示，菜单式操作界面。</w:t>
            </w:r>
          </w:p>
          <w:p w14:paraId="7DAE3E6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 辐照度、黑板温度、淋雨周期等可直观设置和显示。</w:t>
            </w:r>
          </w:p>
          <w:p w14:paraId="28C2170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 触摸屏能显示所有控制参数和自动诊断故障信息；具有灯管衰减提示。</w:t>
            </w:r>
          </w:p>
          <w:p w14:paraId="509CF2B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 行业标准内置于控制器，可供不同行业需求的用户选择，也可按用户要求自定义设置。(可预设10段)</w:t>
            </w:r>
          </w:p>
          <w:p w14:paraId="66076A7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 具有数据处理功能，为试验过程数据与回放提供有力保证。</w:t>
            </w:r>
          </w:p>
          <w:p w14:paraId="3488BDA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辐照度自动监测和控制系统</w:t>
            </w:r>
          </w:p>
          <w:p w14:paraId="632E36D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 突破现有国产老化试验箱辐照度无法监测和控制的缺陷，减少由于灯管老化造成的辐照度衰减和试验误差。</w:t>
            </w:r>
          </w:p>
          <w:p w14:paraId="7339CC2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专业的辐照度校准</w:t>
            </w:r>
          </w:p>
          <w:p w14:paraId="54E8603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 配备辐照度校准仪，可以简单、快速地校准。可追溯到国家计量机构，保证辐照度的准确与稳定性。</w:t>
            </w:r>
          </w:p>
          <w:p w14:paraId="7DB4CC6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标准</w:t>
            </w:r>
          </w:p>
          <w:p w14:paraId="715F9D7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 涂料行业：GB/T1865-2009；GB/T1189-91；ISO11341</w:t>
            </w:r>
          </w:p>
          <w:p w14:paraId="3580849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 橡塑行业：GB/T16422.2-1999</w:t>
            </w:r>
          </w:p>
          <w:p w14:paraId="6DFDA46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 纺织行业：GB/T8427；AATCC16E；AATCC169(1)；ISO 105B-06；ISO 105B-02</w:t>
            </w:r>
          </w:p>
          <w:p w14:paraId="7A3AF12C">
            <w:pPr>
              <w:keepNext w:val="0"/>
              <w:keepLines w:val="0"/>
              <w:pageBreakBefore w:val="0"/>
              <w:kinsoku/>
              <w:overflowPunct/>
              <w:topLinePunct w:val="0"/>
              <w:bidi w:val="0"/>
              <w:snapToGrid/>
              <w:spacing w:after="0" w:line="440" w:lineRule="exact"/>
              <w:textAlignment w:val="auto"/>
              <w:rPr>
                <w:rFonts w:hint="eastAsia" w:ascii="宋体" w:hAnsi="宋体" w:eastAsia="宋体" w:cs="宋体"/>
                <w:b/>
                <w:bCs/>
                <w:color w:val="auto"/>
                <w:kern w:val="0"/>
                <w:sz w:val="21"/>
                <w:szCs w:val="21"/>
                <w:highlight w:val="none"/>
                <w:lang w:bidi="ar"/>
              </w:rPr>
            </w:pPr>
            <w:r>
              <w:rPr>
                <w:rFonts w:hint="eastAsia" w:ascii="宋体" w:hAnsi="宋体" w:eastAsia="宋体" w:cs="宋体"/>
                <w:b/>
                <w:bCs/>
                <w:color w:val="auto"/>
                <w:kern w:val="0"/>
                <w:sz w:val="21"/>
                <w:szCs w:val="21"/>
                <w:highlight w:val="none"/>
                <w:lang w:bidi="ar"/>
              </w:rPr>
              <w:t>技术参数：</w:t>
            </w:r>
          </w:p>
          <w:p w14:paraId="47F2F3E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总暴晒面积:900 cm2</w:t>
            </w:r>
          </w:p>
          <w:p w14:paraId="6A5DDB6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工作室尺寸 (mm)W×D×H:≥460×250×200</w:t>
            </w:r>
          </w:p>
          <w:p w14:paraId="675DD36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外部箱体尺寸 (mm)W×D×H:≥610×465×520</w:t>
            </w:r>
          </w:p>
          <w:p w14:paraId="65BE626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p>
        </w:tc>
        <w:tc>
          <w:tcPr>
            <w:tcW w:w="594" w:type="dxa"/>
            <w:noWrap w:val="0"/>
            <w:vAlign w:val="center"/>
          </w:tcPr>
          <w:p w14:paraId="77120C81">
            <w:pPr>
              <w:keepNext w:val="0"/>
              <w:keepLines w:val="0"/>
              <w:pageBreakBefore w:val="0"/>
              <w:kinsoku/>
              <w:overflowPunct/>
              <w:topLinePunct w:val="0"/>
              <w:bidi w:val="0"/>
              <w:snapToGrid/>
              <w:spacing w:after="0"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台</w:t>
            </w:r>
          </w:p>
        </w:tc>
        <w:tc>
          <w:tcPr>
            <w:tcW w:w="491" w:type="dxa"/>
            <w:noWrap w:val="0"/>
            <w:vAlign w:val="center"/>
          </w:tcPr>
          <w:p w14:paraId="64D676F4">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w:t>
            </w:r>
          </w:p>
        </w:tc>
      </w:tr>
      <w:tr w14:paraId="60D7E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6D90F68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12</w:t>
            </w:r>
          </w:p>
        </w:tc>
        <w:tc>
          <w:tcPr>
            <w:tcW w:w="1483" w:type="dxa"/>
            <w:noWrap w:val="0"/>
            <w:vAlign w:val="center"/>
          </w:tcPr>
          <w:p w14:paraId="31035E43">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真空干燥箱</w:t>
            </w:r>
          </w:p>
        </w:tc>
        <w:tc>
          <w:tcPr>
            <w:tcW w:w="5339" w:type="dxa"/>
            <w:noWrap/>
            <w:vAlign w:val="center"/>
          </w:tcPr>
          <w:p w14:paraId="1B1FC08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含真空泵</w:t>
            </w:r>
          </w:p>
          <w:p w14:paraId="4783BFD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微电脑普通型</w:t>
            </w:r>
          </w:p>
          <w:p w14:paraId="155730F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电源电压：220V±10V 50/60Hz</w:t>
            </w:r>
          </w:p>
          <w:p w14:paraId="75BBAB6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输入功率W：1400</w:t>
            </w:r>
          </w:p>
          <w:p w14:paraId="2E49060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控温范围℃：室温+5~250</w:t>
            </w:r>
          </w:p>
          <w:p w14:paraId="2C91369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温度波动度℃：±1</w:t>
            </w:r>
          </w:p>
          <w:p w14:paraId="5E652CD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分辨率：0.1℃</w:t>
            </w:r>
          </w:p>
          <w:p w14:paraId="6FDA00D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表面温度℃： ≤65</w:t>
            </w:r>
          </w:p>
          <w:p w14:paraId="31292CF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达到真空度Pa：133</w:t>
            </w:r>
          </w:p>
          <w:p w14:paraId="649E42E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容积L：</w:t>
            </w:r>
            <w:r>
              <w:rPr>
                <w:rFonts w:hint="eastAsia" w:ascii="宋体" w:hAnsi="宋体" w:eastAsia="宋体" w:cs="宋体"/>
                <w:color w:val="auto"/>
                <w:kern w:val="0"/>
                <w:sz w:val="21"/>
                <w:szCs w:val="21"/>
                <w:highlight w:val="none"/>
                <w:lang w:bidi="ar"/>
              </w:rPr>
              <w:t>≥</w:t>
            </w:r>
            <w:r>
              <w:rPr>
                <w:rFonts w:hint="eastAsia" w:ascii="宋体" w:hAnsi="宋体" w:eastAsia="宋体" w:cs="宋体"/>
                <w:color w:val="auto"/>
                <w:sz w:val="21"/>
                <w:szCs w:val="21"/>
                <w:highlight w:val="none"/>
              </w:rPr>
              <w:t>55</w:t>
            </w:r>
          </w:p>
          <w:p w14:paraId="487D45D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内胆尺寸(长×宽×高)mm：</w:t>
            </w:r>
            <w:r>
              <w:rPr>
                <w:rFonts w:hint="eastAsia" w:ascii="宋体" w:hAnsi="宋体" w:eastAsia="宋体" w:cs="宋体"/>
                <w:color w:val="auto"/>
                <w:kern w:val="0"/>
                <w:sz w:val="21"/>
                <w:szCs w:val="21"/>
                <w:highlight w:val="none"/>
                <w:lang w:bidi="ar"/>
              </w:rPr>
              <w:t>≥</w:t>
            </w:r>
            <w:r>
              <w:rPr>
                <w:rFonts w:hint="eastAsia" w:ascii="宋体" w:hAnsi="宋体" w:eastAsia="宋体" w:cs="宋体"/>
                <w:color w:val="auto"/>
                <w:sz w:val="21"/>
                <w:szCs w:val="21"/>
                <w:highlight w:val="none"/>
              </w:rPr>
              <w:t>400×400×400</w:t>
            </w:r>
          </w:p>
          <w:p w14:paraId="1BD393F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外形尺寸(长×宽×高)mm：</w:t>
            </w:r>
            <w:r>
              <w:rPr>
                <w:rFonts w:hint="eastAsia" w:ascii="宋体" w:hAnsi="宋体" w:eastAsia="宋体" w:cs="宋体"/>
                <w:color w:val="auto"/>
                <w:kern w:val="0"/>
                <w:sz w:val="21"/>
                <w:szCs w:val="21"/>
                <w:highlight w:val="none"/>
                <w:lang w:bidi="ar"/>
              </w:rPr>
              <w:t>≥</w:t>
            </w:r>
            <w:r>
              <w:rPr>
                <w:rFonts w:hint="eastAsia" w:ascii="宋体" w:hAnsi="宋体" w:eastAsia="宋体" w:cs="宋体"/>
                <w:color w:val="auto"/>
                <w:sz w:val="21"/>
                <w:szCs w:val="21"/>
                <w:highlight w:val="none"/>
              </w:rPr>
              <w:t>710×505×550</w:t>
            </w:r>
          </w:p>
          <w:p w14:paraId="5D294F1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加热方式：套式加热</w:t>
            </w:r>
          </w:p>
          <w:p w14:paraId="707DEAB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托架数量：</w:t>
            </w:r>
            <w:r>
              <w:rPr>
                <w:rFonts w:hint="eastAsia" w:ascii="宋体" w:hAnsi="宋体" w:eastAsia="宋体" w:cs="宋体"/>
                <w:color w:val="auto"/>
                <w:kern w:val="0"/>
                <w:sz w:val="21"/>
                <w:szCs w:val="21"/>
                <w:highlight w:val="none"/>
                <w:lang w:bidi="ar"/>
              </w:rPr>
              <w:t>≥</w:t>
            </w:r>
            <w:r>
              <w:rPr>
                <w:rFonts w:hint="eastAsia" w:ascii="宋体" w:hAnsi="宋体" w:eastAsia="宋体" w:cs="宋体"/>
                <w:color w:val="auto"/>
                <w:sz w:val="21"/>
                <w:szCs w:val="21"/>
                <w:highlight w:val="none"/>
              </w:rPr>
              <w:t>3</w:t>
            </w:r>
          </w:p>
          <w:p w14:paraId="49AE5B5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sz w:val="21"/>
                <w:szCs w:val="21"/>
                <w:highlight w:val="none"/>
              </w:rPr>
              <w:t>定时范围min：0~999温度智能区段设置</w:t>
            </w:r>
          </w:p>
        </w:tc>
        <w:tc>
          <w:tcPr>
            <w:tcW w:w="594" w:type="dxa"/>
            <w:noWrap w:val="0"/>
            <w:vAlign w:val="center"/>
          </w:tcPr>
          <w:p w14:paraId="72FBAB85">
            <w:pPr>
              <w:keepNext w:val="0"/>
              <w:keepLines w:val="0"/>
              <w:pageBreakBefore w:val="0"/>
              <w:kinsoku/>
              <w:overflowPunct/>
              <w:topLinePunct w:val="0"/>
              <w:bidi w:val="0"/>
              <w:snapToGrid/>
              <w:spacing w:after="0"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台</w:t>
            </w:r>
          </w:p>
        </w:tc>
        <w:tc>
          <w:tcPr>
            <w:tcW w:w="491" w:type="dxa"/>
            <w:noWrap w:val="0"/>
            <w:vAlign w:val="center"/>
          </w:tcPr>
          <w:p w14:paraId="3222A2DD">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w:t>
            </w:r>
          </w:p>
        </w:tc>
      </w:tr>
      <w:tr w14:paraId="61005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5F0BADA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13</w:t>
            </w:r>
          </w:p>
        </w:tc>
        <w:tc>
          <w:tcPr>
            <w:tcW w:w="1483" w:type="dxa"/>
            <w:noWrap w:val="0"/>
            <w:vAlign w:val="center"/>
          </w:tcPr>
          <w:p w14:paraId="6E35EE92">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高速分散器</w:t>
            </w:r>
          </w:p>
        </w:tc>
        <w:tc>
          <w:tcPr>
            <w:tcW w:w="5339" w:type="dxa"/>
            <w:noWrap/>
            <w:vAlign w:val="center"/>
          </w:tcPr>
          <w:p w14:paraId="641B32B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1.速度 2800-28000 r/min，无级变速，支持在线调速</w:t>
            </w:r>
          </w:p>
          <w:p w14:paraId="5EDFB64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2.可以任意调节刀具与台面距离，方便更好地接触样品</w:t>
            </w:r>
          </w:p>
          <w:p w14:paraId="62E58C8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*3.参数记忆功能：参数设置可自动记忆，快速调取，方便查看更改</w:t>
            </w:r>
          </w:p>
          <w:p w14:paraId="10DFCC8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val="en-US" w:eastAsia="zh-CN" w:bidi="ar"/>
              </w:rPr>
              <w:t>4</w:t>
            </w:r>
            <w:r>
              <w:rPr>
                <w:rFonts w:hint="eastAsia" w:ascii="宋体" w:hAnsi="宋体" w:eastAsia="宋体" w:cs="宋体"/>
                <w:color w:val="auto"/>
                <w:kern w:val="0"/>
                <w:sz w:val="21"/>
                <w:szCs w:val="21"/>
                <w:highlight w:val="none"/>
                <w:lang w:bidi="ar"/>
              </w:rPr>
              <w:t>. 分散量：3ml-1000ml</w:t>
            </w:r>
          </w:p>
          <w:p w14:paraId="6900065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val="en-US" w:eastAsia="zh-CN" w:bidi="ar"/>
              </w:rPr>
              <w:t>5</w:t>
            </w:r>
            <w:r>
              <w:rPr>
                <w:rFonts w:hint="eastAsia" w:ascii="宋体" w:hAnsi="宋体" w:eastAsia="宋体" w:cs="宋体"/>
                <w:color w:val="auto"/>
                <w:kern w:val="0"/>
                <w:sz w:val="21"/>
                <w:szCs w:val="21"/>
                <w:highlight w:val="none"/>
                <w:lang w:bidi="ar"/>
              </w:rPr>
              <w:t xml:space="preserve">. 定时范围：1-9.9分任意可调  </w:t>
            </w:r>
          </w:p>
          <w:p w14:paraId="6D952C7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bidi="ar"/>
              </w:rPr>
              <w:t>. 标配：Φ18mm 处理量 50-1000ml</w:t>
            </w:r>
          </w:p>
          <w:p w14:paraId="6A7F349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bidi="ar"/>
              </w:rPr>
              <w:t>.选配Φ10mm 处理量 3-200ml；Φ14mm 处理量 100-500ml；Φ25mm 处理量 50-2000ml</w:t>
            </w:r>
          </w:p>
          <w:p w14:paraId="1F489B3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val="en-US" w:eastAsia="zh-CN" w:bidi="ar"/>
              </w:rPr>
              <w:t>8</w:t>
            </w:r>
            <w:r>
              <w:rPr>
                <w:rFonts w:hint="eastAsia" w:ascii="宋体" w:hAnsi="宋体" w:eastAsia="宋体" w:cs="宋体"/>
                <w:color w:val="auto"/>
                <w:kern w:val="0"/>
                <w:sz w:val="21"/>
                <w:szCs w:val="21"/>
                <w:highlight w:val="none"/>
                <w:lang w:bidi="ar"/>
              </w:rPr>
              <w:t>.显示方式：液晶显示</w:t>
            </w:r>
          </w:p>
        </w:tc>
        <w:tc>
          <w:tcPr>
            <w:tcW w:w="594" w:type="dxa"/>
            <w:noWrap w:val="0"/>
            <w:vAlign w:val="center"/>
          </w:tcPr>
          <w:p w14:paraId="0A4BDADC">
            <w:pPr>
              <w:keepNext w:val="0"/>
              <w:keepLines w:val="0"/>
              <w:pageBreakBefore w:val="0"/>
              <w:kinsoku/>
              <w:overflowPunct/>
              <w:topLinePunct w:val="0"/>
              <w:bidi w:val="0"/>
              <w:snapToGrid/>
              <w:spacing w:after="0"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台</w:t>
            </w:r>
          </w:p>
        </w:tc>
        <w:tc>
          <w:tcPr>
            <w:tcW w:w="491" w:type="dxa"/>
            <w:noWrap w:val="0"/>
            <w:vAlign w:val="center"/>
          </w:tcPr>
          <w:p w14:paraId="03D07DC9">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2</w:t>
            </w:r>
          </w:p>
        </w:tc>
      </w:tr>
      <w:tr w14:paraId="1D173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0DF1FB8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14</w:t>
            </w:r>
          </w:p>
        </w:tc>
        <w:tc>
          <w:tcPr>
            <w:tcW w:w="1483" w:type="dxa"/>
            <w:noWrap w:val="0"/>
            <w:vAlign w:val="center"/>
          </w:tcPr>
          <w:p w14:paraId="5A3C1147">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循环水式真空泵</w:t>
            </w:r>
          </w:p>
        </w:tc>
        <w:tc>
          <w:tcPr>
            <w:tcW w:w="5339" w:type="dxa"/>
            <w:noWrap/>
            <w:vAlign w:val="center"/>
          </w:tcPr>
          <w:p w14:paraId="524AEDF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电压 (V/Hz) 220  50/60</w:t>
            </w:r>
          </w:p>
          <w:p w14:paraId="2205D33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流量(L/min)≥ 90</w:t>
            </w:r>
          </w:p>
          <w:p w14:paraId="239981B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扬程(m) ≥12</w:t>
            </w:r>
          </w:p>
          <w:p w14:paraId="749EAC6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机体材质 工程防腐</w:t>
            </w:r>
          </w:p>
          <w:p w14:paraId="04C6FB1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最大真空度(Mpa)-0.1</w:t>
            </w:r>
          </w:p>
          <w:p w14:paraId="4761421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单头抽气量(L/min)≥ 10</w:t>
            </w:r>
          </w:p>
          <w:p w14:paraId="0F32BA1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抽气孔(Pcs)≥ 2</w:t>
            </w:r>
          </w:p>
          <w:p w14:paraId="0D8492E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容积(L) ≥15</w:t>
            </w:r>
          </w:p>
          <w:p w14:paraId="43F229C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水箱材质:防腐工程塑料</w:t>
            </w:r>
          </w:p>
          <w:p w14:paraId="0B1ADD9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抽气孔直径：≥φ8</w:t>
            </w:r>
          </w:p>
          <w:p w14:paraId="55FC73A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循环水出水口直径：≥φ8</w:t>
            </w:r>
          </w:p>
        </w:tc>
        <w:tc>
          <w:tcPr>
            <w:tcW w:w="594" w:type="dxa"/>
            <w:noWrap w:val="0"/>
            <w:vAlign w:val="center"/>
          </w:tcPr>
          <w:p w14:paraId="50A1F62A">
            <w:pPr>
              <w:keepNext w:val="0"/>
              <w:keepLines w:val="0"/>
              <w:pageBreakBefore w:val="0"/>
              <w:kinsoku/>
              <w:overflowPunct/>
              <w:topLinePunct w:val="0"/>
              <w:bidi w:val="0"/>
              <w:snapToGrid/>
              <w:spacing w:after="0"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台</w:t>
            </w:r>
          </w:p>
        </w:tc>
        <w:tc>
          <w:tcPr>
            <w:tcW w:w="491" w:type="dxa"/>
            <w:noWrap w:val="0"/>
            <w:vAlign w:val="center"/>
          </w:tcPr>
          <w:p w14:paraId="414041B3">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3</w:t>
            </w:r>
          </w:p>
        </w:tc>
      </w:tr>
      <w:tr w14:paraId="52519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68D7548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15</w:t>
            </w:r>
          </w:p>
        </w:tc>
        <w:tc>
          <w:tcPr>
            <w:tcW w:w="1483" w:type="dxa"/>
            <w:noWrap w:val="0"/>
            <w:vAlign w:val="center"/>
          </w:tcPr>
          <w:p w14:paraId="46C1600F">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旋转蒸发器</w:t>
            </w:r>
          </w:p>
        </w:tc>
        <w:tc>
          <w:tcPr>
            <w:tcW w:w="5339" w:type="dxa"/>
            <w:noWrap/>
            <w:vAlign w:val="center"/>
          </w:tcPr>
          <w:p w14:paraId="0217C38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旋转瓶(L) 1L</w:t>
            </w:r>
          </w:p>
          <w:p w14:paraId="35601EE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接收瓶 (L) 500ml</w:t>
            </w:r>
          </w:p>
          <w:p w14:paraId="690AADE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水油浴锅(W) 1000W</w:t>
            </w:r>
          </w:p>
          <w:p w14:paraId="7D6EA3E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转速(R/min)  0-120</w:t>
            </w:r>
          </w:p>
          <w:p w14:paraId="25205A0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升降方式 手动提升</w:t>
            </w:r>
          </w:p>
          <w:p w14:paraId="2FF5FDA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上升高度 (mm) 0-155</w:t>
            </w:r>
          </w:p>
          <w:p w14:paraId="25CD063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最大压力 (MPa) -0.1</w:t>
            </w:r>
          </w:p>
          <w:p w14:paraId="5179ECB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双层冷凝器 立式附加料管，大冷凝蒸发管</w:t>
            </w:r>
          </w:p>
          <w:p w14:paraId="7EC18CC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温度控制范围 (℃) TR-250</w:t>
            </w:r>
          </w:p>
          <w:p w14:paraId="563F566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水浴锅尺寸(mm) Φ220*106</w:t>
            </w:r>
          </w:p>
          <w:p w14:paraId="48D73AD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蒸发率 (L/H, H2O) ≥1</w:t>
            </w:r>
          </w:p>
          <w:p w14:paraId="2ECA2FD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电压 (V/Hz) 220V 50/60</w:t>
            </w:r>
          </w:p>
        </w:tc>
        <w:tc>
          <w:tcPr>
            <w:tcW w:w="594" w:type="dxa"/>
            <w:noWrap w:val="0"/>
            <w:vAlign w:val="center"/>
          </w:tcPr>
          <w:p w14:paraId="1F407D28">
            <w:pPr>
              <w:keepNext w:val="0"/>
              <w:keepLines w:val="0"/>
              <w:pageBreakBefore w:val="0"/>
              <w:kinsoku/>
              <w:overflowPunct/>
              <w:topLinePunct w:val="0"/>
              <w:bidi w:val="0"/>
              <w:snapToGrid/>
              <w:spacing w:after="0"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台</w:t>
            </w:r>
          </w:p>
        </w:tc>
        <w:tc>
          <w:tcPr>
            <w:tcW w:w="491" w:type="dxa"/>
            <w:noWrap w:val="0"/>
            <w:vAlign w:val="center"/>
          </w:tcPr>
          <w:p w14:paraId="5B13FE47">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3</w:t>
            </w:r>
          </w:p>
        </w:tc>
      </w:tr>
      <w:tr w14:paraId="7BF60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0065CD9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16</w:t>
            </w:r>
          </w:p>
        </w:tc>
        <w:tc>
          <w:tcPr>
            <w:tcW w:w="1483" w:type="dxa"/>
            <w:noWrap w:val="0"/>
            <w:vAlign w:val="center"/>
          </w:tcPr>
          <w:p w14:paraId="05E20B6F">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bidi="ar"/>
              </w:rPr>
              <w:t>高速台</w:t>
            </w:r>
            <w:r>
              <w:rPr>
                <w:rFonts w:hint="eastAsia" w:ascii="宋体" w:hAnsi="宋体" w:eastAsia="宋体" w:cs="宋体"/>
                <w:color w:val="auto"/>
                <w:kern w:val="0"/>
                <w:sz w:val="21"/>
                <w:szCs w:val="21"/>
                <w:highlight w:val="none"/>
                <w:lang w:val="en-US" w:eastAsia="zh-CN" w:bidi="ar"/>
              </w:rPr>
              <w:t>式</w:t>
            </w:r>
            <w:r>
              <w:rPr>
                <w:rFonts w:hint="eastAsia" w:ascii="宋体" w:hAnsi="宋体" w:eastAsia="宋体" w:cs="宋体"/>
                <w:color w:val="auto"/>
                <w:kern w:val="0"/>
                <w:sz w:val="21"/>
                <w:szCs w:val="21"/>
                <w:highlight w:val="none"/>
                <w:lang w:bidi="ar"/>
              </w:rPr>
              <w:t>离心</w:t>
            </w:r>
            <w:r>
              <w:rPr>
                <w:rFonts w:hint="eastAsia" w:ascii="宋体" w:hAnsi="宋体" w:eastAsia="宋体" w:cs="宋体"/>
                <w:color w:val="auto"/>
                <w:kern w:val="0"/>
                <w:sz w:val="21"/>
                <w:szCs w:val="21"/>
                <w:highlight w:val="none"/>
                <w:lang w:val="en-US" w:eastAsia="zh-CN" w:bidi="ar"/>
              </w:rPr>
              <w:t>机</w:t>
            </w:r>
          </w:p>
        </w:tc>
        <w:tc>
          <w:tcPr>
            <w:tcW w:w="5339" w:type="dxa"/>
            <w:noWrap/>
            <w:vAlign w:val="center"/>
          </w:tcPr>
          <w:p w14:paraId="5011405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仪器特点:</w:t>
            </w:r>
          </w:p>
          <w:p w14:paraId="38BE3DB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高清LCD液晶显示</w:t>
            </w:r>
            <w:r>
              <w:rPr>
                <w:rFonts w:hint="eastAsia" w:ascii="宋体" w:hAnsi="宋体" w:eastAsia="宋体" w:cs="宋体"/>
                <w:color w:val="auto"/>
                <w:sz w:val="21"/>
                <w:szCs w:val="21"/>
                <w:highlight w:val="none"/>
                <w:lang w:eastAsia="zh-CN"/>
              </w:rPr>
              <w:t>。</w:t>
            </w:r>
          </w:p>
          <w:p w14:paraId="32320FE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配备多种角转头，兼容角转头0.5-50ml多样品离心管，一机多用。</w:t>
            </w:r>
          </w:p>
          <w:p w14:paraId="26DDA55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电机采用直接驱动</w:t>
            </w:r>
            <w:r>
              <w:rPr>
                <w:rFonts w:hint="eastAsia" w:ascii="宋体" w:hAnsi="宋体" w:eastAsia="宋体" w:cs="宋体"/>
                <w:color w:val="auto"/>
                <w:sz w:val="21"/>
                <w:szCs w:val="21"/>
                <w:highlight w:val="none"/>
                <w:lang w:eastAsia="zh-CN"/>
              </w:rPr>
              <w:t>。</w:t>
            </w:r>
          </w:p>
          <w:p w14:paraId="1C8B356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采用风冷系统。</w:t>
            </w:r>
          </w:p>
          <w:p w14:paraId="401CDCF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采用微机处理器精确控制转速、时间，数字显示，可存取程序，升降速率</w:t>
            </w:r>
            <w:r>
              <w:rPr>
                <w:rFonts w:hint="eastAsia" w:ascii="宋体" w:hAnsi="宋体" w:eastAsia="宋体" w:cs="宋体"/>
                <w:color w:val="auto"/>
                <w:sz w:val="21"/>
                <w:szCs w:val="21"/>
                <w:highlight w:val="none"/>
                <w:lang w:val="en-US" w:eastAsia="zh-CN"/>
              </w:rPr>
              <w:t>可</w:t>
            </w:r>
            <w:r>
              <w:rPr>
                <w:rFonts w:hint="eastAsia" w:ascii="宋体" w:hAnsi="宋体" w:eastAsia="宋体" w:cs="宋体"/>
                <w:color w:val="auto"/>
                <w:sz w:val="21"/>
                <w:szCs w:val="21"/>
                <w:highlight w:val="none"/>
              </w:rPr>
              <w:t>选，有效防止样品减速中紧急停车造成的二次重悬。</w:t>
            </w:r>
          </w:p>
          <w:p w14:paraId="3C438F1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自动计算转速/离心力RCF值，转速、离心力窗口独立显示无需切换。安全装置及故障自检功能:防爆自动电子安全电子门锁，不平衡、超速超温自动保护。</w:t>
            </w:r>
          </w:p>
          <w:p w14:paraId="51D65F9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机身采用优质钢材结构，防爆保护内套，不锈钢离心腔，三层防护。</w:t>
            </w:r>
          </w:p>
          <w:p w14:paraId="433F2DF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技术参数:</w:t>
            </w:r>
          </w:p>
          <w:p w14:paraId="3291E6E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转速：</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16500rpm</w:t>
            </w:r>
          </w:p>
          <w:p w14:paraId="3A912B9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最大离心力：18757</w:t>
            </w:r>
            <w:r>
              <w:rPr>
                <w:rFonts w:hint="eastAsia" w:ascii="宋体" w:hAnsi="宋体" w:eastAsia="宋体" w:cs="宋体"/>
                <w:color w:val="auto"/>
                <w:sz w:val="21"/>
                <w:szCs w:val="21"/>
                <w:highlight w:val="none"/>
                <w:lang w:val="en-US" w:eastAsia="zh-CN"/>
              </w:rPr>
              <w:t>*g</w:t>
            </w:r>
          </w:p>
          <w:p w14:paraId="415E875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最大容量：6x50ml</w:t>
            </w:r>
          </w:p>
          <w:p w14:paraId="74695F4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定时范围：1min -99min59s</w:t>
            </w:r>
          </w:p>
          <w:p w14:paraId="17B42BD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转速精度：士10r/min</w:t>
            </w:r>
          </w:p>
          <w:p w14:paraId="7618F93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整机噪声：≤ 65dB (A)</w:t>
            </w:r>
          </w:p>
          <w:p w14:paraId="5E453EB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sz w:val="21"/>
                <w:szCs w:val="21"/>
                <w:highlight w:val="none"/>
              </w:rPr>
              <w:t>离心腔直径：</w:t>
            </w:r>
            <w:r>
              <w:rPr>
                <w:rFonts w:hint="eastAsia" w:ascii="宋体" w:hAnsi="宋体" w:eastAsia="宋体" w:cs="宋体"/>
                <w:color w:val="auto"/>
                <w:sz w:val="21"/>
                <w:szCs w:val="21"/>
                <w:highlight w:val="none"/>
                <w:lang w:val="en-US" w:eastAsia="zh-CN"/>
              </w:rPr>
              <w:t>不小于</w:t>
            </w:r>
            <w:r>
              <w:rPr>
                <w:rFonts w:hint="eastAsia" w:ascii="宋体" w:hAnsi="宋体" w:eastAsia="宋体" w:cs="宋体"/>
                <w:color w:val="auto"/>
                <w:sz w:val="21"/>
                <w:szCs w:val="21"/>
                <w:highlight w:val="none"/>
              </w:rPr>
              <w:t>Φ320mm</w:t>
            </w:r>
          </w:p>
        </w:tc>
        <w:tc>
          <w:tcPr>
            <w:tcW w:w="594" w:type="dxa"/>
            <w:noWrap w:val="0"/>
            <w:vAlign w:val="center"/>
          </w:tcPr>
          <w:p w14:paraId="7ADAD92D">
            <w:pPr>
              <w:keepNext w:val="0"/>
              <w:keepLines w:val="0"/>
              <w:pageBreakBefore w:val="0"/>
              <w:kinsoku/>
              <w:overflowPunct/>
              <w:topLinePunct w:val="0"/>
              <w:bidi w:val="0"/>
              <w:snapToGrid/>
              <w:spacing w:after="0"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台</w:t>
            </w:r>
          </w:p>
        </w:tc>
        <w:tc>
          <w:tcPr>
            <w:tcW w:w="491" w:type="dxa"/>
            <w:noWrap w:val="0"/>
            <w:vAlign w:val="center"/>
          </w:tcPr>
          <w:p w14:paraId="7784775A">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w:t>
            </w:r>
          </w:p>
        </w:tc>
      </w:tr>
      <w:tr w14:paraId="74B5E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2FC0A86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17</w:t>
            </w:r>
          </w:p>
        </w:tc>
        <w:tc>
          <w:tcPr>
            <w:tcW w:w="1483" w:type="dxa"/>
            <w:noWrap w:val="0"/>
            <w:vAlign w:val="center"/>
          </w:tcPr>
          <w:p w14:paraId="59C0D446">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涂-4粘度计</w:t>
            </w:r>
          </w:p>
        </w:tc>
        <w:tc>
          <w:tcPr>
            <w:tcW w:w="5339" w:type="dxa"/>
            <w:noWrap/>
            <w:vAlign w:val="center"/>
          </w:tcPr>
          <w:p w14:paraId="506A6CF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粘度杯为黄铜制造，容量约100毫升，其几何尺寸和内壁粗糙度符合《GB/T1723涂料粘度测定法》的规定，其底部为不锈钢的流出孔。</w:t>
            </w:r>
          </w:p>
          <w:p w14:paraId="7B613A9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修正系数K值即在设定的温度条件下（如20℃±0.1℃）用二级标准油注满粘度杯后，流完的时间应在30s～100s范围内，K值应在1±0.03范围内。粘度计应按其使用的频率程度定期校正</w:t>
            </w:r>
          </w:p>
        </w:tc>
        <w:tc>
          <w:tcPr>
            <w:tcW w:w="594" w:type="dxa"/>
            <w:noWrap w:val="0"/>
            <w:vAlign w:val="center"/>
          </w:tcPr>
          <w:p w14:paraId="498425F2">
            <w:pPr>
              <w:keepNext w:val="0"/>
              <w:keepLines w:val="0"/>
              <w:pageBreakBefore w:val="0"/>
              <w:kinsoku/>
              <w:overflowPunct/>
              <w:topLinePunct w:val="0"/>
              <w:bidi w:val="0"/>
              <w:snapToGrid/>
              <w:spacing w:after="0"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台</w:t>
            </w:r>
          </w:p>
        </w:tc>
        <w:tc>
          <w:tcPr>
            <w:tcW w:w="491" w:type="dxa"/>
            <w:noWrap w:val="0"/>
            <w:vAlign w:val="center"/>
          </w:tcPr>
          <w:p w14:paraId="6C7C6447">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10</w:t>
            </w:r>
          </w:p>
        </w:tc>
      </w:tr>
      <w:tr w14:paraId="0585E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7BC4A3A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18</w:t>
            </w:r>
          </w:p>
        </w:tc>
        <w:tc>
          <w:tcPr>
            <w:tcW w:w="1483" w:type="dxa"/>
            <w:noWrap w:val="0"/>
            <w:vAlign w:val="center"/>
          </w:tcPr>
          <w:p w14:paraId="717B3718">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电热合成釜</w:t>
            </w:r>
          </w:p>
        </w:tc>
        <w:tc>
          <w:tcPr>
            <w:tcW w:w="5339" w:type="dxa"/>
            <w:noWrap/>
            <w:vAlign w:val="center"/>
          </w:tcPr>
          <w:p w14:paraId="25D45F6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 xml:space="preserve">釜体部分 </w:t>
            </w:r>
          </w:p>
          <w:p w14:paraId="4912F25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1.容量1L</w:t>
            </w:r>
          </w:p>
          <w:p w14:paraId="3CC39C6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 xml:space="preserve">2.材质：304L不锈钢   </w:t>
            </w:r>
          </w:p>
          <w:p w14:paraId="2B30445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3.设计压力：</w:t>
            </w:r>
            <w:r>
              <w:rPr>
                <w:rFonts w:hint="eastAsia" w:ascii="宋体" w:hAnsi="宋体" w:eastAsia="宋体" w:cs="宋体"/>
                <w:color w:val="auto"/>
                <w:kern w:val="0"/>
                <w:sz w:val="21"/>
                <w:szCs w:val="21"/>
                <w:highlight w:val="none"/>
                <w:lang w:val="en-US" w:eastAsia="zh-CN" w:bidi="ar"/>
              </w:rPr>
              <w:t>不小于</w:t>
            </w:r>
            <w:r>
              <w:rPr>
                <w:rFonts w:hint="eastAsia" w:ascii="宋体" w:hAnsi="宋体" w:eastAsia="宋体" w:cs="宋体"/>
                <w:color w:val="auto"/>
                <w:kern w:val="0"/>
                <w:sz w:val="21"/>
                <w:szCs w:val="21"/>
                <w:highlight w:val="none"/>
                <w:lang w:bidi="ar"/>
              </w:rPr>
              <w:t>22</w:t>
            </w:r>
            <w:r>
              <w:rPr>
                <w:rFonts w:hint="eastAsia" w:ascii="宋体" w:hAnsi="宋体" w:eastAsia="宋体" w:cs="宋体"/>
                <w:color w:val="auto"/>
                <w:kern w:val="0"/>
                <w:sz w:val="21"/>
                <w:szCs w:val="21"/>
                <w:highlight w:val="none"/>
                <w:lang w:val="en-US" w:eastAsia="zh-CN" w:bidi="ar"/>
              </w:rPr>
              <w:t>M</w:t>
            </w:r>
            <w:r>
              <w:rPr>
                <w:rFonts w:hint="eastAsia" w:ascii="宋体" w:hAnsi="宋体" w:eastAsia="宋体" w:cs="宋体"/>
                <w:color w:val="auto"/>
                <w:kern w:val="0"/>
                <w:sz w:val="21"/>
                <w:szCs w:val="21"/>
                <w:highlight w:val="none"/>
                <w:lang w:bidi="ar"/>
              </w:rPr>
              <w:t xml:space="preserve">pa      </w:t>
            </w:r>
          </w:p>
          <w:p w14:paraId="10F1327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4. 釜体厚度：20mm</w:t>
            </w:r>
          </w:p>
          <w:p w14:paraId="0E351D3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 xml:space="preserve">搅拌部分 </w:t>
            </w:r>
          </w:p>
          <w:p w14:paraId="7E077F9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1.密封方式：磁转动 静密封 A型</w:t>
            </w:r>
          </w:p>
          <w:p w14:paraId="7018A52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2.搅拌转速：50-1000转/分钟</w:t>
            </w:r>
          </w:p>
          <w:p w14:paraId="47A362E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3.搅拌形式：磁力耦合搅拌</w:t>
            </w:r>
          </w:p>
          <w:p w14:paraId="5941DAB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3.加热方式：模块式电加热（可选油浴加热）</w:t>
            </w:r>
          </w:p>
          <w:p w14:paraId="41996E6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4.加热功率：1.5KW</w:t>
            </w:r>
          </w:p>
          <w:p w14:paraId="423B3F9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5.控温精度：±1度</w:t>
            </w:r>
          </w:p>
          <w:p w14:paraId="5CCB281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6.搅拌桨结构：三叶式推进桨</w:t>
            </w:r>
          </w:p>
          <w:p w14:paraId="720C616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 xml:space="preserve">控制部分 </w:t>
            </w:r>
          </w:p>
          <w:p w14:paraId="313F0A7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 xml:space="preserve">1.转速调节  </w:t>
            </w:r>
          </w:p>
          <w:p w14:paraId="07B3D41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 xml:space="preserve">2.温度控制（程序控制可定制） 温度显示 </w:t>
            </w:r>
          </w:p>
          <w:p w14:paraId="76D2483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3.转速显示</w:t>
            </w:r>
          </w:p>
          <w:p w14:paraId="43ED388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4.单</w:t>
            </w:r>
            <w:r>
              <w:rPr>
                <w:rFonts w:hint="eastAsia" w:ascii="宋体" w:hAnsi="宋体" w:eastAsia="宋体" w:cs="宋体"/>
                <w:color w:val="auto"/>
                <w:kern w:val="0"/>
                <w:sz w:val="21"/>
                <w:szCs w:val="21"/>
                <w:highlight w:val="none"/>
                <w:lang w:val="en-US" w:eastAsia="zh-CN" w:bidi="ar"/>
              </w:rPr>
              <w:t>相</w:t>
            </w:r>
            <w:r>
              <w:rPr>
                <w:rFonts w:hint="eastAsia" w:ascii="宋体" w:hAnsi="宋体" w:eastAsia="宋体" w:cs="宋体"/>
                <w:color w:val="auto"/>
                <w:kern w:val="0"/>
                <w:sz w:val="21"/>
                <w:szCs w:val="21"/>
                <w:highlight w:val="none"/>
                <w:lang w:bidi="ar"/>
              </w:rPr>
              <w:t>电（220V）</w:t>
            </w:r>
          </w:p>
          <w:p w14:paraId="1EF46E6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 xml:space="preserve">管口部分 </w:t>
            </w:r>
          </w:p>
          <w:p w14:paraId="356F915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1.搅拌口配磁力耦合器</w:t>
            </w:r>
          </w:p>
          <w:p w14:paraId="5346AA9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2.气相口配针型阀（配备进气管可满足连接氢气、氮气、氧气各种适用气体）</w:t>
            </w:r>
          </w:p>
          <w:p w14:paraId="670C410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3.放空口配针型阀</w:t>
            </w:r>
          </w:p>
          <w:p w14:paraId="5788D55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4.液相口配针型</w:t>
            </w:r>
            <w:r>
              <w:rPr>
                <w:rFonts w:hint="eastAsia" w:ascii="宋体" w:hAnsi="宋体" w:eastAsia="宋体" w:cs="宋体"/>
                <w:color w:val="auto"/>
                <w:kern w:val="0"/>
                <w:sz w:val="21"/>
                <w:szCs w:val="21"/>
                <w:highlight w:val="none"/>
                <w:lang w:val="en-US" w:eastAsia="zh-CN" w:bidi="ar"/>
              </w:rPr>
              <w:t>阀</w:t>
            </w:r>
            <w:r>
              <w:rPr>
                <w:rFonts w:hint="eastAsia" w:ascii="宋体" w:hAnsi="宋体" w:eastAsia="宋体" w:cs="宋体"/>
                <w:color w:val="auto"/>
                <w:kern w:val="0"/>
                <w:sz w:val="21"/>
                <w:szCs w:val="21"/>
                <w:highlight w:val="none"/>
                <w:lang w:bidi="ar"/>
              </w:rPr>
              <w:t>带釜内插底管（取样或是上出料用）</w:t>
            </w:r>
          </w:p>
          <w:p w14:paraId="394CD32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5.压力安全防爆口配压力表及爆破阀（防爆片）</w:t>
            </w:r>
          </w:p>
          <w:p w14:paraId="39F70AA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6.测温口配保护管带铂电阻</w:t>
            </w:r>
          </w:p>
          <w:p w14:paraId="6ED3F64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7.釜内配冷却盘管可拆卸（可配堵头）</w:t>
            </w:r>
          </w:p>
          <w:p w14:paraId="739B06F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 xml:space="preserve">管口要求 </w:t>
            </w:r>
          </w:p>
          <w:p w14:paraId="0823EF9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 xml:space="preserve">1.取样口：Φ4     </w:t>
            </w:r>
          </w:p>
          <w:p w14:paraId="59FF848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 xml:space="preserve">2. 进气口：Φ4      </w:t>
            </w:r>
          </w:p>
          <w:p w14:paraId="3501325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 xml:space="preserve">3. 放气口：Φ4   </w:t>
            </w:r>
          </w:p>
          <w:p w14:paraId="01E06FD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 xml:space="preserve">4.冷却水进出口：Φ4 </w:t>
            </w:r>
          </w:p>
          <w:p w14:paraId="342572C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 xml:space="preserve">5.测温口：Φ4     </w:t>
            </w:r>
          </w:p>
          <w:p w14:paraId="13DAC16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 xml:space="preserve">6. 压力表：Φ4      </w:t>
            </w:r>
          </w:p>
          <w:p w14:paraId="61553AE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 xml:space="preserve">7. 进料口：Φ4 </w:t>
            </w:r>
          </w:p>
          <w:p w14:paraId="1C3F033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 xml:space="preserve">工具 </w:t>
            </w:r>
          </w:p>
          <w:p w14:paraId="0155148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 xml:space="preserve">1.进气管1根   </w:t>
            </w:r>
          </w:p>
          <w:p w14:paraId="51FED55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 xml:space="preserve">2.公斤扳手1个 </w:t>
            </w:r>
          </w:p>
        </w:tc>
        <w:tc>
          <w:tcPr>
            <w:tcW w:w="594" w:type="dxa"/>
            <w:noWrap w:val="0"/>
            <w:vAlign w:val="center"/>
          </w:tcPr>
          <w:p w14:paraId="4463FBED">
            <w:pPr>
              <w:keepNext w:val="0"/>
              <w:keepLines w:val="0"/>
              <w:pageBreakBefore w:val="0"/>
              <w:kinsoku/>
              <w:overflowPunct/>
              <w:topLinePunct w:val="0"/>
              <w:bidi w:val="0"/>
              <w:snapToGrid/>
              <w:spacing w:after="0"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台</w:t>
            </w:r>
          </w:p>
        </w:tc>
        <w:tc>
          <w:tcPr>
            <w:tcW w:w="491" w:type="dxa"/>
            <w:noWrap w:val="0"/>
            <w:vAlign w:val="center"/>
          </w:tcPr>
          <w:p w14:paraId="04D5B15E">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w:t>
            </w:r>
          </w:p>
        </w:tc>
      </w:tr>
      <w:tr w14:paraId="53731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75F353E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19</w:t>
            </w:r>
          </w:p>
        </w:tc>
        <w:tc>
          <w:tcPr>
            <w:tcW w:w="1483" w:type="dxa"/>
            <w:noWrap w:val="0"/>
            <w:vAlign w:val="center"/>
          </w:tcPr>
          <w:p w14:paraId="77B46D7F">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百分之一</w:t>
            </w:r>
          </w:p>
          <w:p w14:paraId="696AB1B7">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(天平)</w:t>
            </w:r>
          </w:p>
        </w:tc>
        <w:tc>
          <w:tcPr>
            <w:tcW w:w="5339" w:type="dxa"/>
            <w:noWrap/>
            <w:vAlign w:val="center"/>
          </w:tcPr>
          <w:p w14:paraId="48764EB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1、技术指标：</w:t>
            </w:r>
          </w:p>
          <w:p w14:paraId="72763FF8">
            <w:pPr>
              <w:keepNext w:val="0"/>
              <w:keepLines w:val="0"/>
              <w:pageBreakBefore w:val="0"/>
              <w:numPr>
                <w:ilvl w:val="0"/>
                <w:numId w:val="4"/>
              </w:numPr>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最大称量值2200（g）</w:t>
            </w:r>
          </w:p>
          <w:p w14:paraId="2AA64943">
            <w:pPr>
              <w:keepNext w:val="0"/>
              <w:keepLines w:val="0"/>
              <w:pageBreakBefore w:val="0"/>
              <w:numPr>
                <w:ilvl w:val="0"/>
                <w:numId w:val="4"/>
              </w:numPr>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读数精度≤0.01（g）</w:t>
            </w:r>
          </w:p>
          <w:p w14:paraId="0278E075">
            <w:pPr>
              <w:keepNext w:val="0"/>
              <w:keepLines w:val="0"/>
              <w:pageBreakBefore w:val="0"/>
              <w:numPr>
                <w:ilvl w:val="0"/>
                <w:numId w:val="4"/>
              </w:numPr>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重复性≤0.01g  </w:t>
            </w:r>
          </w:p>
          <w:p w14:paraId="586230B9">
            <w:pPr>
              <w:keepNext w:val="0"/>
              <w:keepLines w:val="0"/>
              <w:pageBreakBefore w:val="0"/>
              <w:numPr>
                <w:ilvl w:val="0"/>
                <w:numId w:val="4"/>
              </w:numPr>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线性≤0.015（g）</w:t>
            </w:r>
          </w:p>
          <w:p w14:paraId="63BA4013">
            <w:pPr>
              <w:keepNext w:val="0"/>
              <w:keepLines w:val="0"/>
              <w:pageBreakBefore w:val="0"/>
              <w:numPr>
                <w:ilvl w:val="0"/>
                <w:numId w:val="4"/>
              </w:numPr>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典型称量时间：≤3s</w:t>
            </w:r>
          </w:p>
          <w:p w14:paraId="4651E129">
            <w:pPr>
              <w:keepNext w:val="0"/>
              <w:keepLines w:val="0"/>
              <w:pageBreakBefore w:val="0"/>
              <w:numPr>
                <w:ilvl w:val="0"/>
                <w:numId w:val="4"/>
              </w:numPr>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秤盘尺寸170*170高防腐蚀性不锈钢材料，秤盘表面光滑便于清洗</w:t>
            </w:r>
          </w:p>
          <w:p w14:paraId="0A61FE40">
            <w:pPr>
              <w:keepNext w:val="0"/>
              <w:keepLines w:val="0"/>
              <w:pageBreakBefore w:val="0"/>
              <w:numPr>
                <w:ilvl w:val="0"/>
                <w:numId w:val="4"/>
              </w:numPr>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(WxLxH) 210x340x91 mm</w:t>
            </w:r>
          </w:p>
          <w:p w14:paraId="35A28F81">
            <w:pPr>
              <w:keepNext w:val="0"/>
              <w:keepLines w:val="0"/>
              <w:pageBreakBefore w:val="0"/>
              <w:numPr>
                <w:ilvl w:val="0"/>
                <w:numId w:val="4"/>
              </w:numPr>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灵敏度时间漂移：</w:t>
            </w:r>
            <w:r>
              <w:rPr>
                <w:rFonts w:hint="eastAsia" w:ascii="宋体" w:hAnsi="宋体" w:eastAsia="宋体" w:cs="宋体"/>
                <w:color w:val="auto"/>
                <w:sz w:val="21"/>
                <w:szCs w:val="21"/>
                <w:highlight w:val="none"/>
              </w:rPr>
              <w:t>（10—30℃）2ppm/℃</w:t>
            </w:r>
          </w:p>
          <w:p w14:paraId="7A15AA81">
            <w:pPr>
              <w:keepNext w:val="0"/>
              <w:keepLines w:val="0"/>
              <w:pageBreakBefore w:val="0"/>
              <w:numPr>
                <w:ilvl w:val="0"/>
                <w:numId w:val="4"/>
              </w:numPr>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工作温度范围：5-40℃</w:t>
            </w:r>
          </w:p>
          <w:p w14:paraId="60F11BF2">
            <w:pPr>
              <w:keepNext w:val="0"/>
              <w:keepLines w:val="0"/>
              <w:pageBreakBefore w:val="0"/>
              <w:numPr>
                <w:ilvl w:val="0"/>
                <w:numId w:val="4"/>
              </w:numPr>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工作电压100~240V AC50~60HZ ±10%</w:t>
            </w:r>
          </w:p>
          <w:p w14:paraId="7E6E627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3、配置清单：</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31"/>
              <w:gridCol w:w="1022"/>
              <w:gridCol w:w="963"/>
            </w:tblGrid>
            <w:tr w14:paraId="4F4DE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3431" w:type="dxa"/>
                  <w:noWrap w:val="0"/>
                  <w:vAlign w:val="top"/>
                </w:tcPr>
                <w:p w14:paraId="3B6345A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名称</w:t>
                  </w:r>
                </w:p>
              </w:tc>
              <w:tc>
                <w:tcPr>
                  <w:tcW w:w="1022" w:type="dxa"/>
                  <w:noWrap w:val="0"/>
                  <w:vAlign w:val="top"/>
                </w:tcPr>
                <w:p w14:paraId="1F1525C7">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数量</w:t>
                  </w:r>
                </w:p>
              </w:tc>
              <w:tc>
                <w:tcPr>
                  <w:tcW w:w="963" w:type="dxa"/>
                  <w:noWrap w:val="0"/>
                  <w:vAlign w:val="top"/>
                </w:tcPr>
                <w:p w14:paraId="567FF63B">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w:t>
                  </w:r>
                </w:p>
              </w:tc>
            </w:tr>
            <w:tr w14:paraId="1E1DA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3431" w:type="dxa"/>
                  <w:noWrap w:val="0"/>
                  <w:vAlign w:val="top"/>
                </w:tcPr>
                <w:p w14:paraId="42F5140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1）主机</w:t>
                  </w:r>
                </w:p>
              </w:tc>
              <w:tc>
                <w:tcPr>
                  <w:tcW w:w="1022" w:type="dxa"/>
                  <w:noWrap w:val="0"/>
                  <w:vAlign w:val="top"/>
                </w:tcPr>
                <w:p w14:paraId="12C09753">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963" w:type="dxa"/>
                  <w:noWrap w:val="0"/>
                  <w:vAlign w:val="top"/>
                </w:tcPr>
                <w:p w14:paraId="497DA52A">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台</w:t>
                  </w:r>
                </w:p>
              </w:tc>
            </w:tr>
            <w:tr w14:paraId="50091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3431" w:type="dxa"/>
                  <w:noWrap w:val="0"/>
                  <w:vAlign w:val="top"/>
                </w:tcPr>
                <w:p w14:paraId="6EF5020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2）秤盘</w:t>
                  </w:r>
                </w:p>
              </w:tc>
              <w:tc>
                <w:tcPr>
                  <w:tcW w:w="1022" w:type="dxa"/>
                  <w:noWrap w:val="0"/>
                  <w:vAlign w:val="top"/>
                </w:tcPr>
                <w:p w14:paraId="643A549D">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963" w:type="dxa"/>
                  <w:noWrap w:val="0"/>
                  <w:vAlign w:val="top"/>
                </w:tcPr>
                <w:p w14:paraId="0BE66C37">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r>
            <w:tr w14:paraId="46492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3431" w:type="dxa"/>
                  <w:noWrap w:val="0"/>
                  <w:vAlign w:val="top"/>
                </w:tcPr>
                <w:p w14:paraId="6FD9099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3）电源适配器</w:t>
                  </w:r>
                </w:p>
              </w:tc>
              <w:tc>
                <w:tcPr>
                  <w:tcW w:w="1022" w:type="dxa"/>
                  <w:noWrap w:val="0"/>
                  <w:vAlign w:val="top"/>
                </w:tcPr>
                <w:p w14:paraId="40B22D61">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963" w:type="dxa"/>
                  <w:noWrap w:val="0"/>
                  <w:vAlign w:val="top"/>
                </w:tcPr>
                <w:p w14:paraId="161AB6C5">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个</w:t>
                  </w:r>
                </w:p>
              </w:tc>
            </w:tr>
            <w:tr w14:paraId="0E42C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3431" w:type="dxa"/>
                  <w:noWrap w:val="0"/>
                  <w:vAlign w:val="top"/>
                </w:tcPr>
                <w:p w14:paraId="067FF6D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4) 合格证</w:t>
                  </w:r>
                </w:p>
              </w:tc>
              <w:tc>
                <w:tcPr>
                  <w:tcW w:w="1022" w:type="dxa"/>
                  <w:noWrap w:val="0"/>
                  <w:vAlign w:val="top"/>
                </w:tcPr>
                <w:p w14:paraId="3A617B71">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963" w:type="dxa"/>
                  <w:noWrap w:val="0"/>
                  <w:vAlign w:val="top"/>
                </w:tcPr>
                <w:p w14:paraId="0E3B47AC">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份</w:t>
                  </w:r>
                </w:p>
              </w:tc>
            </w:tr>
            <w:tr w14:paraId="4E6BE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3431" w:type="dxa"/>
                  <w:noWrap w:val="0"/>
                  <w:vAlign w:val="top"/>
                </w:tcPr>
                <w:p w14:paraId="29C17AC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5）使用说明书</w:t>
                  </w:r>
                </w:p>
              </w:tc>
              <w:tc>
                <w:tcPr>
                  <w:tcW w:w="1022" w:type="dxa"/>
                  <w:noWrap w:val="0"/>
                  <w:vAlign w:val="top"/>
                </w:tcPr>
                <w:p w14:paraId="5F8BFE70">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963" w:type="dxa"/>
                  <w:noWrap w:val="0"/>
                  <w:vAlign w:val="top"/>
                </w:tcPr>
                <w:p w14:paraId="32B90A2E">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份</w:t>
                  </w:r>
                </w:p>
              </w:tc>
            </w:tr>
          </w:tbl>
          <w:p w14:paraId="7199092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bidi="ar"/>
              </w:rPr>
            </w:pPr>
          </w:p>
        </w:tc>
        <w:tc>
          <w:tcPr>
            <w:tcW w:w="594" w:type="dxa"/>
            <w:noWrap w:val="0"/>
            <w:vAlign w:val="center"/>
          </w:tcPr>
          <w:p w14:paraId="29189582">
            <w:pPr>
              <w:keepNext w:val="0"/>
              <w:keepLines w:val="0"/>
              <w:pageBreakBefore w:val="0"/>
              <w:kinsoku/>
              <w:overflowPunct/>
              <w:topLinePunct w:val="0"/>
              <w:bidi w:val="0"/>
              <w:snapToGrid/>
              <w:spacing w:after="0"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台</w:t>
            </w:r>
          </w:p>
        </w:tc>
        <w:tc>
          <w:tcPr>
            <w:tcW w:w="491" w:type="dxa"/>
            <w:noWrap w:val="0"/>
            <w:vAlign w:val="center"/>
          </w:tcPr>
          <w:p w14:paraId="5F131674">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w:t>
            </w:r>
          </w:p>
        </w:tc>
      </w:tr>
      <w:tr w14:paraId="1F950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1340BE4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20</w:t>
            </w:r>
          </w:p>
        </w:tc>
        <w:tc>
          <w:tcPr>
            <w:tcW w:w="1483" w:type="dxa"/>
            <w:noWrap w:val="0"/>
            <w:vAlign w:val="center"/>
          </w:tcPr>
          <w:p w14:paraId="1BA320B8">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智慧黑板（</w:t>
            </w:r>
            <w:r>
              <w:rPr>
                <w:rFonts w:hint="eastAsia" w:ascii="宋体" w:hAnsi="宋体" w:eastAsia="宋体" w:cs="宋体"/>
                <w:color w:val="auto"/>
                <w:sz w:val="21"/>
                <w:szCs w:val="21"/>
                <w:highlight w:val="none"/>
              </w:rPr>
              <w:t>触摸教学一体机</w:t>
            </w:r>
            <w:r>
              <w:rPr>
                <w:rFonts w:hint="eastAsia" w:ascii="宋体" w:hAnsi="宋体" w:eastAsia="宋体" w:cs="宋体"/>
                <w:color w:val="auto"/>
                <w:kern w:val="0"/>
                <w:sz w:val="21"/>
                <w:szCs w:val="21"/>
                <w:highlight w:val="none"/>
                <w:lang w:bidi="ar"/>
              </w:rPr>
              <w:t>）</w:t>
            </w:r>
          </w:p>
        </w:tc>
        <w:tc>
          <w:tcPr>
            <w:tcW w:w="5339" w:type="dxa"/>
            <w:noWrap/>
            <w:vAlign w:val="center"/>
          </w:tcPr>
          <w:p w14:paraId="30E3D4F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整机采用一体设计，外部无任何可见内部功能模块连接线。边角采用弧形设计，表面无尖锐边缘或凸起，整机采用全金属外壳设计，边框为金属一体成型，整机屏幕边缘采用金属圆角包边防护，整机背板采用金属材质，有效屏蔽内部电路器件辐射；防潮耐盐雾蚀锈，适应多种教学环境。</w:t>
            </w:r>
          </w:p>
          <w:p w14:paraId="5E2A90E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 整机支持双路可插拔模块，一个槽位支持OPS模块插拔，另一个槽位支持AI模块插拔。</w:t>
            </w:r>
          </w:p>
          <w:p w14:paraId="50E8A4A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 整机屏幕不小于98英寸，采用超高清LED液晶显示屏，显示比例16:9，分辨率≥3840×2160，钢化玻璃表面硬度≥9H。</w:t>
            </w:r>
          </w:p>
          <w:p w14:paraId="238D104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 安卓系统版本不低于Android 13.0，内存≥4GB，存储空间≥32GB。</w:t>
            </w:r>
          </w:p>
          <w:p w14:paraId="202339D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 采用红外触控技术，支持Windows系统中进行50点或以上触控，支持在Android系统中进行40点或以上触控。</w:t>
            </w:r>
          </w:p>
          <w:p w14:paraId="58CA172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 整机内置2.2声道扬声器，位于设备上边框，顶置朝前发声，前朝向10W高音扬声器2个，上朝向20W中低音扬声器2个，额定总功率60W。</w:t>
            </w:r>
          </w:p>
          <w:p w14:paraId="57B967D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 整机内置独立音频CPU处理器，支持麦克风3A算法（自动增益控制（AGC）、自动抑制噪声（ANC）、自动回声消除（AEC）），提升麦克风拾音效果。整机内置专属的4核音频CPU处理器，最多支持8路麦克风数据处理，采样率支持192K，同时不占用整机系统的CPU能力。</w:t>
            </w:r>
          </w:p>
          <w:p w14:paraId="2AFBAD2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 整机内置扬声器采用缝隙发声技术，喇叭采用槽式开口设计，不大于5.8mm</w:t>
            </w:r>
          </w:p>
          <w:p w14:paraId="29C6064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 整机内置非独立外扩展的8阵列麦克风，拾音角度≥180°，可用于对教室环境音频进行采集，拾音距离≥12m。</w:t>
            </w:r>
          </w:p>
          <w:p w14:paraId="49EB1B2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10、整机支持色彩空间可选，包含标准模式和sRGB模式，在sRGB模式下可做到高色准△E≤1。</w:t>
            </w:r>
          </w:p>
          <w:p w14:paraId="0F20E4B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 整机系统支持手势上滑调出人工智能画质调节模式（AI-PQ），在安卓通道下可根据屏幕内容自动调节画质参数。</w:t>
            </w:r>
          </w:p>
          <w:p w14:paraId="3B2E777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 智慧黑板具有物理防蓝光功能，视网膜蓝光危害（蓝光加权辐射亮度LB）＜0.3，依据GB/T 20145-2006国家标准，无蓝光危害。</w:t>
            </w:r>
          </w:p>
          <w:p w14:paraId="59B2030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 整机支持纸质护眼模式，可以在任意通道任意画面任意软件所有显示内容下实现画面纹理的实时调整；支持纸质纹理：牛皮纸、素描纸、宣纸、水彩纸、水纹纸；支持透明度调节；支持色温调节。</w:t>
            </w:r>
          </w:p>
          <w:p w14:paraId="5C8E7D9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 整机具备至少6个前置按键，可实现开关机、调出中控菜单、音量+/-、护眼、录屏操作。</w:t>
            </w:r>
          </w:p>
          <w:p w14:paraId="4025724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 整机系统支持书写触控延迟≤15ms。</w:t>
            </w:r>
          </w:p>
          <w:p w14:paraId="5AF3ECD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 整机支持蓝牙Bluetooth 5.4标准；Wi-Fi制式支持IEEE 802.11 a/b/g/n/ac/ax；支持版本Wi-Fi6。</w:t>
            </w:r>
          </w:p>
          <w:p w14:paraId="1E6A9C4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 整机内置双WiFi6无线网卡（不接受外接），在Android和Windows系统下，可实现Wi-Fi无线上网连接、AP无线热点发射。</w:t>
            </w:r>
          </w:p>
          <w:p w14:paraId="5F8975D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 整机支持发出频率为18kHz-22kHz超声波信号，智能手机通过麦克风接收后，智能手机与整机无需在同一局域网内，可实现配对，一键投屏，用户无需手动输入投屏码或扫码获取投屏码；</w:t>
            </w:r>
          </w:p>
          <w:p w14:paraId="16CDCD9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 整机上边框内置非独立式摄像头，采用一体化集成设计，摄像头数量≥4个。</w:t>
            </w:r>
          </w:p>
          <w:p w14:paraId="4E4EC81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 整机支持上边框内置非独立摄像头模组，同时输出至少 3 路视频流，同时支持课堂远程巡课、课堂教学数据采集、本地画面预览（拍照或视频录制）。</w:t>
            </w:r>
          </w:p>
          <w:p w14:paraId="66AB220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 整机支持提笔书写，在Windows系统下可实现无需点击任意功能入口，当检测到红外笔笔尖接触屏幕时，自动进入书写模式。整机支持手笔分离，通过提笔即写唤醒批注功能后，可进行手笔分离功能，使用笔正常书写，使用手指可以操作应用，进行点击操作。</w:t>
            </w:r>
          </w:p>
          <w:p w14:paraId="1749F99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 整机Windows通道支持文件传输应用，支持通过扫码、wifi直联、超声三种方式与手机进行握手连接，实现文件传输功能。</w:t>
            </w:r>
          </w:p>
          <w:p w14:paraId="73739EA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 整机内置专业硬件自检维护工具（非第三方工具），支持对整机内部的板卡及部件模块进行故障检测、系统还原功能。</w:t>
            </w:r>
          </w:p>
          <w:p w14:paraId="34EE9B1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 整机全通道侧边栏支持展示学校名称、设备班级、场地信息。整机全通道侧边栏快捷菜单中可实时查看物联设备的连接情况，点击设备图标即可调出中控菜单进行管控。</w:t>
            </w:r>
          </w:p>
          <w:p w14:paraId="2D580A7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25、 整机全通道侧边栏快捷菜单包含如下小工具：批注、降半屏、截屏、放大镜、倒计时、日历、聚光灯、秒表、冻屏、倒数日、答题、节拍器。</w:t>
            </w:r>
          </w:p>
          <w:p w14:paraId="79054CE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26、整机设备可将应用编辑到教学桌面首页，编辑方式支持从教学桌面首页进入编辑，支持在全部应用列表中进入编辑2种方式。教学桌面首页应用支持无需进入应用编辑页面，在首页指定应用上长按进行移除。</w:t>
            </w:r>
          </w:p>
          <w:p w14:paraId="4730CE7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27、 整机设备自带地震预警软件；支持在地震预警页面中获取位置，可以手动进行位置校准；支持在地震预警页面中选择提醒阈值；支持在地震预警界面中开启和关闭地震预警服务。</w:t>
            </w:r>
          </w:p>
          <w:p w14:paraId="09FAA20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28、 采用抽拉内置式模块化电脑，抽拉内置式，PC模块可插入整机，可实现无单独接线的插拔。≥Intel i7,12代CPU，内存≥8GB DDR4内存配置，硬盘≥256 GB SSD固态硬盘。</w:t>
            </w:r>
          </w:p>
        </w:tc>
        <w:tc>
          <w:tcPr>
            <w:tcW w:w="594" w:type="dxa"/>
            <w:noWrap w:val="0"/>
            <w:vAlign w:val="center"/>
          </w:tcPr>
          <w:p w14:paraId="656D9DAB">
            <w:pPr>
              <w:keepNext w:val="0"/>
              <w:keepLines w:val="0"/>
              <w:pageBreakBefore w:val="0"/>
              <w:kinsoku/>
              <w:overflowPunct/>
              <w:topLinePunct w:val="0"/>
              <w:bidi w:val="0"/>
              <w:snapToGrid/>
              <w:spacing w:after="0"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个</w:t>
            </w:r>
          </w:p>
        </w:tc>
        <w:tc>
          <w:tcPr>
            <w:tcW w:w="491" w:type="dxa"/>
            <w:noWrap w:val="0"/>
            <w:vAlign w:val="center"/>
          </w:tcPr>
          <w:p w14:paraId="58D16E0C">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w:t>
            </w:r>
          </w:p>
        </w:tc>
      </w:tr>
      <w:tr w14:paraId="7C009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611F292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21</w:t>
            </w:r>
          </w:p>
        </w:tc>
        <w:tc>
          <w:tcPr>
            <w:tcW w:w="1483" w:type="dxa"/>
            <w:noWrap w:val="0"/>
            <w:vAlign w:val="center"/>
          </w:tcPr>
          <w:p w14:paraId="384C600D">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空调柜机</w:t>
            </w:r>
          </w:p>
        </w:tc>
        <w:tc>
          <w:tcPr>
            <w:tcW w:w="5339" w:type="dxa"/>
            <w:noWrap/>
            <w:vAlign w:val="top"/>
          </w:tcPr>
          <w:p w14:paraId="6D23D01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操控方式：遥控器控制</w:t>
            </w:r>
          </w:p>
          <w:p w14:paraId="2CB3D03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能效等级：一级能效</w:t>
            </w:r>
          </w:p>
          <w:p w14:paraId="15B17A7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变频/定频：变频</w:t>
            </w:r>
          </w:p>
          <w:p w14:paraId="598EE5A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冷暖类型：冷暖</w:t>
            </w:r>
          </w:p>
          <w:p w14:paraId="301E2CD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匹数：5匹</w:t>
            </w:r>
          </w:p>
          <w:p w14:paraId="17DCA4D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循环风量：≥2100m2/h</w:t>
            </w:r>
          </w:p>
        </w:tc>
        <w:tc>
          <w:tcPr>
            <w:tcW w:w="594" w:type="dxa"/>
            <w:noWrap w:val="0"/>
            <w:vAlign w:val="center"/>
          </w:tcPr>
          <w:p w14:paraId="24B9428F">
            <w:pPr>
              <w:keepNext w:val="0"/>
              <w:keepLines w:val="0"/>
              <w:pageBreakBefore w:val="0"/>
              <w:kinsoku/>
              <w:overflowPunct/>
              <w:topLinePunct w:val="0"/>
              <w:bidi w:val="0"/>
              <w:snapToGrid/>
              <w:spacing w:after="0"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个</w:t>
            </w:r>
          </w:p>
        </w:tc>
        <w:tc>
          <w:tcPr>
            <w:tcW w:w="491" w:type="dxa"/>
            <w:noWrap w:val="0"/>
            <w:vAlign w:val="center"/>
          </w:tcPr>
          <w:p w14:paraId="55223B35">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w:t>
            </w:r>
          </w:p>
        </w:tc>
      </w:tr>
      <w:tr w14:paraId="17327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51D98B5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22</w:t>
            </w:r>
          </w:p>
        </w:tc>
        <w:tc>
          <w:tcPr>
            <w:tcW w:w="1483" w:type="dxa"/>
            <w:noWrap w:val="0"/>
            <w:vAlign w:val="center"/>
          </w:tcPr>
          <w:p w14:paraId="5F00CC5B">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凳子</w:t>
            </w:r>
          </w:p>
        </w:tc>
        <w:tc>
          <w:tcPr>
            <w:tcW w:w="5339" w:type="dxa"/>
            <w:noWrap/>
            <w:vAlign w:val="center"/>
          </w:tcPr>
          <w:p w14:paraId="524B12F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PU面液压升降，承重：100kg以上</w:t>
            </w:r>
          </w:p>
        </w:tc>
        <w:tc>
          <w:tcPr>
            <w:tcW w:w="594" w:type="dxa"/>
            <w:noWrap w:val="0"/>
            <w:vAlign w:val="center"/>
          </w:tcPr>
          <w:p w14:paraId="6977D061">
            <w:pPr>
              <w:keepNext w:val="0"/>
              <w:keepLines w:val="0"/>
              <w:pageBreakBefore w:val="0"/>
              <w:kinsoku/>
              <w:overflowPunct/>
              <w:topLinePunct w:val="0"/>
              <w:bidi w:val="0"/>
              <w:snapToGrid/>
              <w:spacing w:after="0"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个</w:t>
            </w:r>
          </w:p>
        </w:tc>
        <w:tc>
          <w:tcPr>
            <w:tcW w:w="491" w:type="dxa"/>
            <w:noWrap w:val="0"/>
            <w:vAlign w:val="center"/>
          </w:tcPr>
          <w:p w14:paraId="59684CD0">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30</w:t>
            </w:r>
          </w:p>
        </w:tc>
      </w:tr>
      <w:tr w14:paraId="78681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14557A9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23</w:t>
            </w:r>
          </w:p>
        </w:tc>
        <w:tc>
          <w:tcPr>
            <w:tcW w:w="1483" w:type="dxa"/>
            <w:noWrap w:val="0"/>
            <w:vAlign w:val="center"/>
          </w:tcPr>
          <w:p w14:paraId="7E466F0F">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备注</w:t>
            </w:r>
          </w:p>
        </w:tc>
        <w:tc>
          <w:tcPr>
            <w:tcW w:w="5339" w:type="dxa"/>
            <w:noWrap/>
            <w:vAlign w:val="center"/>
          </w:tcPr>
          <w:p w14:paraId="6597A6F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该实验室含上下水管、弯头、插线板、电线路等一套</w:t>
            </w:r>
          </w:p>
        </w:tc>
        <w:tc>
          <w:tcPr>
            <w:tcW w:w="594" w:type="dxa"/>
            <w:noWrap w:val="0"/>
            <w:vAlign w:val="center"/>
          </w:tcPr>
          <w:p w14:paraId="35D88CF6">
            <w:pPr>
              <w:keepNext w:val="0"/>
              <w:keepLines w:val="0"/>
              <w:pageBreakBefore w:val="0"/>
              <w:kinsoku/>
              <w:overflowPunct/>
              <w:topLinePunct w:val="0"/>
              <w:bidi w:val="0"/>
              <w:snapToGrid/>
              <w:spacing w:after="0" w:line="440" w:lineRule="exact"/>
              <w:ind w:firstLine="194" w:firstLineChars="100"/>
              <w:textAlignment w:val="auto"/>
              <w:rPr>
                <w:rFonts w:hint="eastAsia" w:ascii="宋体" w:hAnsi="宋体" w:eastAsia="宋体" w:cs="宋体"/>
                <w:color w:val="auto"/>
                <w:spacing w:val="-8"/>
                <w:sz w:val="21"/>
                <w:szCs w:val="21"/>
                <w:highlight w:val="none"/>
              </w:rPr>
            </w:pPr>
          </w:p>
        </w:tc>
        <w:tc>
          <w:tcPr>
            <w:tcW w:w="491" w:type="dxa"/>
            <w:noWrap w:val="0"/>
            <w:vAlign w:val="center"/>
          </w:tcPr>
          <w:p w14:paraId="6A192015">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p>
        </w:tc>
      </w:tr>
      <w:tr w14:paraId="66294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5"/>
            <w:noWrap w:val="0"/>
            <w:vAlign w:val="center"/>
          </w:tcPr>
          <w:p w14:paraId="0ED578BC">
            <w:pPr>
              <w:keepNext w:val="0"/>
              <w:keepLines w:val="0"/>
              <w:pageBreakBefore w:val="0"/>
              <w:kinsoku/>
              <w:overflowPunct/>
              <w:topLinePunct w:val="0"/>
              <w:bidi w:val="0"/>
              <w:snapToGrid/>
              <w:spacing w:after="0" w:line="440" w:lineRule="exact"/>
              <w:textAlignment w:val="auto"/>
              <w:rPr>
                <w:rFonts w:hint="eastAsia" w:ascii="宋体" w:hAnsi="宋体" w:eastAsia="宋体" w:cs="宋体"/>
                <w:b/>
                <w:bCs/>
                <w:color w:val="auto"/>
                <w:spacing w:val="-8"/>
                <w:sz w:val="21"/>
                <w:szCs w:val="21"/>
                <w:highlight w:val="none"/>
              </w:rPr>
            </w:pPr>
            <w:r>
              <w:rPr>
                <w:rFonts w:hint="eastAsia" w:ascii="宋体" w:hAnsi="宋体" w:cs="宋体"/>
                <w:b/>
                <w:bCs/>
                <w:color w:val="auto"/>
                <w:kern w:val="0"/>
                <w:sz w:val="21"/>
                <w:szCs w:val="21"/>
                <w:highlight w:val="none"/>
                <w:lang w:val="en-US" w:eastAsia="zh-CN" w:bidi="ar"/>
              </w:rPr>
              <w:t>3</w:t>
            </w:r>
            <w:r>
              <w:rPr>
                <w:rFonts w:hint="eastAsia" w:ascii="宋体" w:hAnsi="宋体" w:eastAsia="宋体" w:cs="宋体"/>
                <w:b/>
                <w:bCs/>
                <w:color w:val="auto"/>
                <w:kern w:val="0"/>
                <w:sz w:val="21"/>
                <w:szCs w:val="21"/>
                <w:highlight w:val="none"/>
                <w:lang w:bidi="ar"/>
              </w:rPr>
              <w:t>.工业分析测试技术实训室</w:t>
            </w:r>
          </w:p>
        </w:tc>
      </w:tr>
      <w:tr w14:paraId="61434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3800A5C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w:t>
            </w:r>
          </w:p>
        </w:tc>
        <w:tc>
          <w:tcPr>
            <w:tcW w:w="1483" w:type="dxa"/>
            <w:noWrap w:val="0"/>
            <w:vAlign w:val="center"/>
          </w:tcPr>
          <w:p w14:paraId="490AF1BD">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紫外可见分光光度计</w:t>
            </w:r>
          </w:p>
        </w:tc>
        <w:tc>
          <w:tcPr>
            <w:tcW w:w="5339" w:type="dxa"/>
            <w:noWrap/>
            <w:vAlign w:val="center"/>
          </w:tcPr>
          <w:p w14:paraId="1422322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1.光学系统：     高性能全息光栅1200条/毫米,双光束</w:t>
            </w:r>
          </w:p>
          <w:p w14:paraId="00467DA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2.波长范围：     190-1100nm</w:t>
            </w:r>
          </w:p>
          <w:p w14:paraId="2C3C660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3.光谱带宽：     1</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光谱带宽</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 xml:space="preserve"> nm</w:t>
            </w:r>
          </w:p>
          <w:p w14:paraId="12EF834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4.光度范围：     -4.0- 4.0A， 0-200%T ，0～9999.9C</w:t>
            </w:r>
          </w:p>
          <w:p w14:paraId="01DC5FD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5.工作方式：     A、T、C、E</w:t>
            </w:r>
          </w:p>
          <w:p w14:paraId="0EE76FD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6.波长精度：     ±0.2nm（D656.1处±0.1nm）</w:t>
            </w:r>
          </w:p>
          <w:p w14:paraId="558925C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7.波长重复性：   ≤0.1nm</w:t>
            </w:r>
          </w:p>
          <w:p w14:paraId="4701F99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8.光度精度：     ±0.002A（0-0.5Abs） 、 ±0.004A(0.5-1.0Abs)、 ±0.2%T (0-100%T)        </w:t>
            </w:r>
          </w:p>
          <w:p w14:paraId="78F5178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9.光度重复性：   0.001Abs(0-0.5Abs)、0.002Abs(0.5-1.0Abs)、 ≤0.1%T (0-100%T)     </w:t>
            </w:r>
          </w:p>
          <w:p w14:paraId="2D7A7EC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10.稳定性：      0.0002Abs/h(500nm处)</w:t>
            </w:r>
          </w:p>
          <w:p w14:paraId="2419B15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11.杂散光：      ≤0.01%T@ (220nm、360nm</w:t>
            </w:r>
            <w:r>
              <w:rPr>
                <w:rFonts w:hint="eastAsia" w:ascii="宋体" w:hAnsi="宋体" w:eastAsia="宋体" w:cs="宋体"/>
                <w:color w:val="auto"/>
                <w:kern w:val="0"/>
                <w:sz w:val="21"/>
                <w:szCs w:val="21"/>
                <w:highlight w:val="none"/>
                <w:lang w:val="zh-CN"/>
              </w:rPr>
              <w:t>处</w:t>
            </w:r>
            <w:r>
              <w:rPr>
                <w:rFonts w:hint="eastAsia" w:ascii="宋体" w:hAnsi="宋体" w:eastAsia="宋体" w:cs="宋体"/>
                <w:color w:val="auto"/>
                <w:kern w:val="0"/>
                <w:sz w:val="21"/>
                <w:szCs w:val="21"/>
                <w:highlight w:val="none"/>
              </w:rPr>
              <w:t>）</w:t>
            </w:r>
          </w:p>
          <w:p w14:paraId="62757CA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12.噪声：        ±0.0002Abs</w:t>
            </w:r>
          </w:p>
          <w:p w14:paraId="304A455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13.光源：     内置氘灯、钨灯、</w:t>
            </w:r>
          </w:p>
        </w:tc>
        <w:tc>
          <w:tcPr>
            <w:tcW w:w="594" w:type="dxa"/>
            <w:noWrap w:val="0"/>
            <w:vAlign w:val="center"/>
          </w:tcPr>
          <w:p w14:paraId="085EE1B7">
            <w:pPr>
              <w:keepNext w:val="0"/>
              <w:keepLines w:val="0"/>
              <w:pageBreakBefore w:val="0"/>
              <w:kinsoku/>
              <w:overflowPunct/>
              <w:topLinePunct w:val="0"/>
              <w:bidi w:val="0"/>
              <w:snapToGrid/>
              <w:spacing w:after="0"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台</w:t>
            </w:r>
          </w:p>
        </w:tc>
        <w:tc>
          <w:tcPr>
            <w:tcW w:w="491" w:type="dxa"/>
            <w:noWrap w:val="0"/>
            <w:vAlign w:val="center"/>
          </w:tcPr>
          <w:p w14:paraId="710A3E19">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w:t>
            </w:r>
          </w:p>
        </w:tc>
      </w:tr>
      <w:tr w14:paraId="06435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0DFFE263">
            <w:pPr>
              <w:keepNext w:val="0"/>
              <w:keepLines w:val="0"/>
              <w:pageBreakBefore w:val="0"/>
              <w:kinsoku/>
              <w:overflowPunct/>
              <w:topLinePunct w:val="0"/>
              <w:bidi w:val="0"/>
              <w:snapToGrid/>
              <w:spacing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2</w:t>
            </w:r>
          </w:p>
        </w:tc>
        <w:tc>
          <w:tcPr>
            <w:tcW w:w="1483" w:type="dxa"/>
            <w:noWrap w:val="0"/>
            <w:vAlign w:val="center"/>
          </w:tcPr>
          <w:p w14:paraId="325011C3">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气相色谱仪</w:t>
            </w:r>
          </w:p>
        </w:tc>
        <w:tc>
          <w:tcPr>
            <w:tcW w:w="5339" w:type="dxa"/>
            <w:noWrap/>
            <w:vAlign w:val="center"/>
          </w:tcPr>
          <w:p w14:paraId="57C27F7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1工作条件</w:t>
            </w:r>
          </w:p>
          <w:p w14:paraId="38D1842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1.1工作环境温度：5℃—35℃；</w:t>
            </w:r>
          </w:p>
          <w:p w14:paraId="779C1C8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1.2工作环境湿度；25%—80%；</w:t>
            </w:r>
          </w:p>
          <w:p w14:paraId="6D308FF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1.3工作电源：220V±10%,50Hz。</w:t>
            </w:r>
          </w:p>
          <w:p w14:paraId="17FDB59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2气相色谱主机</w:t>
            </w:r>
          </w:p>
          <w:p w14:paraId="6F4C70C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2.1保留时间重复性＜0.2%；</w:t>
            </w:r>
          </w:p>
          <w:p w14:paraId="38BE563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2.2峰面积重复性＜2%；</w:t>
            </w:r>
          </w:p>
          <w:p w14:paraId="65E1034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2.3全气路可实现电子流量/压力显示；</w:t>
            </w:r>
          </w:p>
          <w:p w14:paraId="5CF8E1A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2.4可以同时安装三个检测器，包括FID、TCD、FPD、ECD、NPD等，且可依据需求进行组合，实现一机多用，简单分析；</w:t>
            </w:r>
          </w:p>
          <w:p w14:paraId="673DB7A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2.5除柱温箱外，提供</w:t>
            </w:r>
            <w:r>
              <w:rPr>
                <w:rFonts w:hint="eastAsia" w:ascii="宋体" w:hAnsi="宋体" w:eastAsia="宋体" w:cs="宋体"/>
                <w:color w:val="auto"/>
                <w:kern w:val="0"/>
                <w:sz w:val="21"/>
                <w:szCs w:val="21"/>
                <w:highlight w:val="none"/>
                <w:lang w:val="en-US" w:eastAsia="zh-CN"/>
              </w:rPr>
              <w:t>不小于</w:t>
            </w:r>
            <w:r>
              <w:rPr>
                <w:rFonts w:hint="eastAsia" w:ascii="宋体" w:hAnsi="宋体" w:eastAsia="宋体" w:cs="宋体"/>
                <w:color w:val="auto"/>
                <w:kern w:val="0"/>
                <w:sz w:val="21"/>
                <w:szCs w:val="21"/>
                <w:highlight w:val="none"/>
              </w:rPr>
              <w:t>8路独立加热单元；</w:t>
            </w:r>
          </w:p>
          <w:p w14:paraId="73FB120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2.6具备智能维护跟踪与提醒，可以提示进样垫、衬管等更换时间；</w:t>
            </w:r>
          </w:p>
          <w:p w14:paraId="41612F3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2.7色谱前后通道可实现同步或异步独立控制、操作；</w:t>
            </w:r>
          </w:p>
          <w:p w14:paraId="3BFF24A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2.8主机具有电容式触摸屏，屏幕≥7英寸，可访问控制仪器，实时显示仪器状态及各项参数，具有分析启动、停止物理按键。</w:t>
            </w:r>
          </w:p>
          <w:p w14:paraId="32BA0B8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3柱温箱</w:t>
            </w:r>
          </w:p>
          <w:p w14:paraId="4482258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3.1温度范围：室温+6℃~400℃；</w:t>
            </w:r>
          </w:p>
          <w:p w14:paraId="0D830C5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3.2温度设定增量：0.1℃；</w:t>
            </w:r>
          </w:p>
          <w:p w14:paraId="5953CD7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3.3温度控制精度: ±0.1℃；</w:t>
            </w:r>
          </w:p>
          <w:p w14:paraId="3082E7F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3.4程序升温：30阶31平台，可程序降温；</w:t>
            </w:r>
          </w:p>
          <w:p w14:paraId="1397CA7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3.5单阶运行时间</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9999min；</w:t>
            </w:r>
          </w:p>
          <w:p w14:paraId="427BD19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4进样口系统</w:t>
            </w:r>
          </w:p>
          <w:p w14:paraId="2254B52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4.1使用温度：</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400℃；</w:t>
            </w:r>
          </w:p>
          <w:p w14:paraId="6B0ACE5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4.2进样口安装数量：</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个进样口；</w:t>
            </w:r>
          </w:p>
          <w:p w14:paraId="48927AC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4.3分流比：不小于4500:1。</w:t>
            </w:r>
          </w:p>
          <w:p w14:paraId="1B72715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5氢火焰检测器（FID）</w:t>
            </w:r>
          </w:p>
          <w:p w14:paraId="35C22AD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5.1宽量程数字化输出，提升线性范围；</w:t>
            </w:r>
          </w:p>
          <w:p w14:paraId="65B5354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5.2使用温度：</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400℃；</w:t>
            </w:r>
          </w:p>
          <w:p w14:paraId="19F5B4E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5.3检测限：</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2pg C/s（正十六烷）；</w:t>
            </w:r>
          </w:p>
          <w:p w14:paraId="5452F98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5.4动态线性范围：≥107。</w:t>
            </w:r>
          </w:p>
          <w:p w14:paraId="5D4EDA2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6电子捕获检测器（ECD）</w:t>
            </w:r>
          </w:p>
          <w:p w14:paraId="48399A2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6.1最高使用温度：400℃；</w:t>
            </w:r>
          </w:p>
          <w:p w14:paraId="216E2B9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6.2检测限：</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1×10-13g/ml（γ-666）；</w:t>
            </w:r>
          </w:p>
          <w:p w14:paraId="04E8C4D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6.3动态线性范围：≥104。</w:t>
            </w:r>
          </w:p>
          <w:p w14:paraId="544D31C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7色谱工作站</w:t>
            </w:r>
          </w:p>
          <w:p w14:paraId="71106F0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7.1支持多个检测器同时采集：工作站支持</w:t>
            </w:r>
            <w:r>
              <w:rPr>
                <w:rFonts w:hint="eastAsia" w:ascii="宋体" w:hAnsi="宋体" w:eastAsia="宋体" w:cs="宋体"/>
                <w:color w:val="auto"/>
                <w:kern w:val="0"/>
                <w:sz w:val="21"/>
                <w:szCs w:val="21"/>
                <w:highlight w:val="none"/>
                <w:lang w:val="en-US" w:eastAsia="zh-CN"/>
              </w:rPr>
              <w:t>不少于</w:t>
            </w:r>
            <w:r>
              <w:rPr>
                <w:rFonts w:hint="eastAsia" w:ascii="宋体" w:hAnsi="宋体" w:eastAsia="宋体" w:cs="宋体"/>
                <w:color w:val="auto"/>
                <w:kern w:val="0"/>
                <w:sz w:val="21"/>
                <w:szCs w:val="21"/>
                <w:highlight w:val="none"/>
              </w:rPr>
              <w:t>3个检测器信号的同时采集；</w:t>
            </w:r>
          </w:p>
          <w:p w14:paraId="1C25957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7.2</w:t>
            </w:r>
            <w:r>
              <w:rPr>
                <w:rFonts w:hint="eastAsia" w:ascii="宋体" w:hAnsi="宋体" w:eastAsia="宋体" w:cs="宋体"/>
                <w:color w:val="auto"/>
                <w:kern w:val="0"/>
                <w:sz w:val="21"/>
                <w:szCs w:val="21"/>
                <w:highlight w:val="none"/>
                <w:lang w:val="en-US" w:eastAsia="zh-CN"/>
              </w:rPr>
              <w:t>具有</w:t>
            </w:r>
            <w:r>
              <w:rPr>
                <w:rFonts w:hint="eastAsia" w:ascii="宋体" w:hAnsi="宋体" w:eastAsia="宋体" w:cs="宋体"/>
                <w:color w:val="auto"/>
                <w:kern w:val="0"/>
                <w:sz w:val="21"/>
                <w:szCs w:val="21"/>
                <w:highlight w:val="none"/>
              </w:rPr>
              <w:t>智能化的自诊断系统</w:t>
            </w:r>
            <w:r>
              <w:rPr>
                <w:rFonts w:hint="eastAsia" w:ascii="宋体" w:hAnsi="宋体" w:eastAsia="宋体" w:cs="宋体"/>
                <w:color w:val="auto"/>
                <w:kern w:val="0"/>
                <w:sz w:val="21"/>
                <w:szCs w:val="21"/>
                <w:highlight w:val="none"/>
                <w:lang w:eastAsia="zh-CN"/>
              </w:rPr>
              <w:t>；</w:t>
            </w:r>
          </w:p>
          <w:p w14:paraId="7B4BF18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7.3在线反控功能：实时控制及控制各模块的温度，可随时调出温度控制曲线，包括柱箱、进样口、检测器及辅助加热模块，提高条件摸索效率；可随时调出流量/压力控制曲线，提高条件摸索效率；</w:t>
            </w:r>
          </w:p>
          <w:p w14:paraId="4D7BC1E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7.4</w:t>
            </w:r>
            <w:r>
              <w:rPr>
                <w:rFonts w:hint="eastAsia" w:ascii="宋体" w:hAnsi="宋体" w:eastAsia="宋体" w:cs="宋体"/>
                <w:color w:val="auto"/>
                <w:kern w:val="0"/>
                <w:sz w:val="21"/>
                <w:szCs w:val="21"/>
                <w:highlight w:val="none"/>
                <w:lang w:val="en-US" w:eastAsia="zh-CN"/>
              </w:rPr>
              <w:t>具有</w:t>
            </w:r>
            <w:r>
              <w:rPr>
                <w:rFonts w:hint="eastAsia" w:ascii="宋体" w:hAnsi="宋体" w:eastAsia="宋体" w:cs="宋体"/>
                <w:color w:val="auto"/>
                <w:kern w:val="0"/>
                <w:sz w:val="21"/>
                <w:szCs w:val="21"/>
                <w:highlight w:val="none"/>
              </w:rPr>
              <w:t>在线分析预览功能;</w:t>
            </w:r>
          </w:p>
          <w:p w14:paraId="5A21C26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7.5支持模拟进样;</w:t>
            </w:r>
          </w:p>
          <w:p w14:paraId="19065C7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7.6模块式可定制化报告，支持批量谱图处理和数据分析;</w:t>
            </w:r>
          </w:p>
          <w:p w14:paraId="2C0858D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7.7符合GMP“计算机系统”合规性要求。</w:t>
            </w:r>
          </w:p>
          <w:p w14:paraId="17CDAAE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8.配置：</w:t>
            </w:r>
          </w:p>
          <w:p w14:paraId="2396960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8.1 气相主机（230V） 带触摸屏，方便即时控制仪</w:t>
            </w: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1台</w:t>
            </w:r>
          </w:p>
          <w:p w14:paraId="2F62F95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8.2启动工具包               1套</w:t>
            </w:r>
          </w:p>
          <w:p w14:paraId="72FC2AD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8.3 SSL进样口/气相检测器即时连接柱锁扣       1套</w:t>
            </w:r>
          </w:p>
          <w:p w14:paraId="25DF9D0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8.4手动气路开关阀，用于换载气钢瓶时使用      1套</w:t>
            </w:r>
          </w:p>
          <w:p w14:paraId="066FCF3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8.5 分流不分流进样口模块，含高精度电子压力控制器1套</w:t>
            </w:r>
          </w:p>
          <w:p w14:paraId="35B39CF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8.6 氢火焰离子化检测器（FID）模块    1套</w:t>
            </w:r>
          </w:p>
          <w:p w14:paraId="3183AA0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8.7 电子捕获检测器（ECD）模块       1套</w:t>
            </w:r>
          </w:p>
          <w:p w14:paraId="6A97E93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8.8  测试柱                     </w:t>
            </w: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1套</w:t>
            </w:r>
          </w:p>
          <w:p w14:paraId="68DAA81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8.9 105位自动进样器             </w:t>
            </w: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 xml:space="preserve"> 1套  </w:t>
            </w:r>
          </w:p>
          <w:p w14:paraId="507B781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8.10配套软件                        1套</w:t>
            </w:r>
          </w:p>
          <w:p w14:paraId="159774B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8.11耗材启动工具包                 1套</w:t>
            </w:r>
          </w:p>
          <w:p w14:paraId="507637F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8.12 色谱柱                    </w:t>
            </w: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 xml:space="preserve"> 1套</w:t>
            </w:r>
          </w:p>
        </w:tc>
        <w:tc>
          <w:tcPr>
            <w:tcW w:w="594" w:type="dxa"/>
            <w:noWrap w:val="0"/>
            <w:vAlign w:val="center"/>
          </w:tcPr>
          <w:p w14:paraId="3DE2018C">
            <w:pPr>
              <w:keepNext w:val="0"/>
              <w:keepLines w:val="0"/>
              <w:pageBreakBefore w:val="0"/>
              <w:kinsoku/>
              <w:overflowPunct/>
              <w:topLinePunct w:val="0"/>
              <w:bidi w:val="0"/>
              <w:snapToGrid/>
              <w:spacing w:after="0"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台</w:t>
            </w:r>
          </w:p>
        </w:tc>
        <w:tc>
          <w:tcPr>
            <w:tcW w:w="491" w:type="dxa"/>
            <w:noWrap w:val="0"/>
            <w:vAlign w:val="center"/>
          </w:tcPr>
          <w:p w14:paraId="519B03AC">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w:t>
            </w:r>
          </w:p>
        </w:tc>
      </w:tr>
      <w:tr w14:paraId="3FF79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6769DDE2">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3</w:t>
            </w:r>
          </w:p>
        </w:tc>
        <w:tc>
          <w:tcPr>
            <w:tcW w:w="1483" w:type="dxa"/>
            <w:noWrap w:val="0"/>
            <w:vAlign w:val="center"/>
          </w:tcPr>
          <w:p w14:paraId="1AD7022B">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原子吸收光谱仪</w:t>
            </w:r>
          </w:p>
        </w:tc>
        <w:tc>
          <w:tcPr>
            <w:tcW w:w="5339" w:type="dxa"/>
            <w:noWrap/>
            <w:vAlign w:val="center"/>
          </w:tcPr>
          <w:p w14:paraId="7245837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分光系统</w:t>
            </w:r>
          </w:p>
          <w:p w14:paraId="4E08E2C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1：波长范围：190～900nm,</w:t>
            </w:r>
          </w:p>
          <w:p w14:paraId="0F388EB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2:光谱带宽：0.1、0.2、0.4、1.0、2.0nm五档自动切换</w:t>
            </w:r>
          </w:p>
          <w:p w14:paraId="3D1F685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3:单色仪：C-T光栅单色仪</w:t>
            </w:r>
          </w:p>
          <w:p w14:paraId="3EBF42E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4:波长准确度：全波段≤±0.1nm</w:t>
            </w:r>
          </w:p>
          <w:p w14:paraId="77F3869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5:波长重复性：全波段≤±0.05nm</w:t>
            </w:r>
          </w:p>
          <w:p w14:paraId="065598A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6:光栅：</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1800条/mm</w:t>
            </w:r>
          </w:p>
          <w:p w14:paraId="6E25A2E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7：分辨率：优于0.3nm，</w:t>
            </w:r>
          </w:p>
          <w:p w14:paraId="723C0C8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8:基线稳定性：静态≤±0.003A/30min；动态≤±0.006A/30min</w:t>
            </w:r>
          </w:p>
          <w:p w14:paraId="2CBF731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9:氘灯背景校正：校正能力＞60倍，</w:t>
            </w:r>
          </w:p>
          <w:p w14:paraId="27CB999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火焰分析</w:t>
            </w:r>
          </w:p>
          <w:p w14:paraId="25DCE0C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10:Cu特征浓度：≤0.015mg/L/1%</w:t>
            </w:r>
          </w:p>
          <w:p w14:paraId="471E2EA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11:检出限：≤0.003mg/L</w:t>
            </w:r>
          </w:p>
          <w:p w14:paraId="0486705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 RSD：≤0.5%</w:t>
            </w:r>
          </w:p>
          <w:p w14:paraId="6318989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13:燃烧器：金属钛燃烧器</w:t>
            </w:r>
          </w:p>
          <w:p w14:paraId="0836F61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14:位置调节：燃烧器高度可自动调节</w:t>
            </w:r>
          </w:p>
          <w:p w14:paraId="3D74855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石墨炉分析</w:t>
            </w:r>
          </w:p>
          <w:p w14:paraId="2CC6399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 Cd特征量：</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0.3×10-12g</w:t>
            </w:r>
          </w:p>
          <w:p w14:paraId="47869D9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r>
              <w:rPr>
                <w:rFonts w:hint="eastAsia" w:ascii="宋体" w:hAnsi="宋体" w:eastAsia="宋体" w:cs="宋体"/>
                <w:color w:val="auto"/>
                <w:kern w:val="0"/>
                <w:sz w:val="21"/>
                <w:szCs w:val="21"/>
                <w:highlight w:val="none"/>
                <w:lang w:val="en-US" w:eastAsia="zh-CN"/>
              </w:rPr>
              <w:t>7</w:t>
            </w:r>
            <w:r>
              <w:rPr>
                <w:rFonts w:hint="eastAsia" w:ascii="宋体" w:hAnsi="宋体" w:eastAsia="宋体" w:cs="宋体"/>
                <w:color w:val="auto"/>
                <w:kern w:val="0"/>
                <w:sz w:val="21"/>
                <w:szCs w:val="21"/>
                <w:highlight w:val="none"/>
              </w:rPr>
              <w:t>:控温范围：室温～3000℃</w:t>
            </w:r>
          </w:p>
          <w:p w14:paraId="04E64FA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r>
              <w:rPr>
                <w:rFonts w:hint="eastAsia" w:ascii="宋体" w:hAnsi="宋体" w:eastAsia="宋体" w:cs="宋体"/>
                <w:color w:val="auto"/>
                <w:kern w:val="0"/>
                <w:sz w:val="21"/>
                <w:szCs w:val="21"/>
                <w:highlight w:val="none"/>
                <w:lang w:val="en-US" w:eastAsia="zh-CN"/>
              </w:rPr>
              <w:t>8</w:t>
            </w:r>
            <w:r>
              <w:rPr>
                <w:rFonts w:hint="eastAsia" w:ascii="宋体" w:hAnsi="宋体" w:eastAsia="宋体" w:cs="宋体"/>
                <w:color w:val="auto"/>
                <w:kern w:val="0"/>
                <w:sz w:val="21"/>
                <w:szCs w:val="21"/>
                <w:highlight w:val="none"/>
              </w:rPr>
              <w:t>:升温程序：斜坡升温、阶梯升温、PID控制的最大功率升温、任意设定的PID控制曲线升温方式</w:t>
            </w:r>
          </w:p>
          <w:p w14:paraId="1F773FB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升温模式：高精度恒功率控温方式</w:t>
            </w:r>
          </w:p>
          <w:p w14:paraId="271604A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升温速度：≥2000℃/s</w:t>
            </w:r>
          </w:p>
          <w:p w14:paraId="22F2971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19</w:t>
            </w:r>
            <w:r>
              <w:rPr>
                <w:rFonts w:hint="eastAsia" w:ascii="宋体" w:hAnsi="宋体" w:eastAsia="宋体" w:cs="宋体"/>
                <w:color w:val="auto"/>
                <w:kern w:val="0"/>
                <w:sz w:val="21"/>
                <w:szCs w:val="21"/>
                <w:highlight w:val="none"/>
              </w:rPr>
              <w:t>:石墨炉稳定性：1ug/L Cd7次进样，RSD≤3%</w:t>
            </w:r>
          </w:p>
          <w:p w14:paraId="757E844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0</w:t>
            </w:r>
            <w:r>
              <w:rPr>
                <w:rFonts w:hint="eastAsia" w:ascii="宋体" w:hAnsi="宋体" w:eastAsia="宋体" w:cs="宋体"/>
                <w:color w:val="auto"/>
                <w:kern w:val="0"/>
                <w:sz w:val="21"/>
                <w:szCs w:val="21"/>
                <w:highlight w:val="none"/>
              </w:rPr>
              <w:t>:火焰与石墨炉位置调节：全自动切换。</w:t>
            </w:r>
          </w:p>
          <w:p w14:paraId="653C106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:安全控制报警装置：空心阴极灯过流保护、燃气/保护气欠压保护、燃气泄露报警、石墨炉过热保护、火焰异常状态保护、应急熄火保护等</w:t>
            </w:r>
          </w:p>
          <w:p w14:paraId="11FD0B9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:自动化：微机对仪器进行全自动控制和数据处理，波长自动定位，狭缝自动切换，灯电流、增益自动设定，自动点火，燃气流量自动控制，泄露自动报警</w:t>
            </w:r>
            <w:r>
              <w:rPr>
                <w:rFonts w:hint="eastAsia" w:ascii="宋体" w:hAnsi="宋体" w:eastAsia="宋体" w:cs="宋体"/>
                <w:color w:val="auto"/>
                <w:kern w:val="0"/>
                <w:sz w:val="21"/>
                <w:szCs w:val="21"/>
                <w:highlight w:val="none"/>
                <w:lang w:val="en-US" w:eastAsia="zh-CN"/>
              </w:rPr>
              <w:t>等</w:t>
            </w:r>
            <w:r>
              <w:rPr>
                <w:rFonts w:hint="eastAsia" w:ascii="宋体" w:hAnsi="宋体" w:eastAsia="宋体" w:cs="宋体"/>
                <w:color w:val="auto"/>
                <w:kern w:val="0"/>
                <w:sz w:val="21"/>
                <w:szCs w:val="21"/>
                <w:highlight w:val="none"/>
              </w:rPr>
              <w:t>。</w:t>
            </w:r>
          </w:p>
          <w:p w14:paraId="7A3039DA">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:数据处理工作站：工作站软件能进行数据采集和处理，并能对各种分析结果进行保存和打印，全中文WINDOWS界面</w:t>
            </w:r>
          </w:p>
          <w:p w14:paraId="33D1F05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:测量方式：火焰吸收法、石墨炉法</w:t>
            </w:r>
          </w:p>
          <w:p w14:paraId="76DB7D7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配置</w:t>
            </w:r>
          </w:p>
          <w:p w14:paraId="57A9574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1、火焰石墨炉一体化原子吸收光谱仪主机 一套</w:t>
            </w:r>
          </w:p>
          <w:p w14:paraId="7BBCB32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2、石墨炉自动进样器 一套</w:t>
            </w:r>
          </w:p>
          <w:p w14:paraId="11DE07D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3、冷却水循环装置 一台</w:t>
            </w:r>
          </w:p>
          <w:p w14:paraId="7602FE8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4、静音空压机 一台</w:t>
            </w:r>
          </w:p>
          <w:p w14:paraId="5001EA61">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5、长寿命石墨管 10支</w:t>
            </w:r>
          </w:p>
          <w:p w14:paraId="261AFF9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6、元素空心阴极灯 8只</w:t>
            </w:r>
          </w:p>
          <w:p w14:paraId="3E45A6E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7、电脑，打印机 一套</w:t>
            </w:r>
          </w:p>
          <w:p w14:paraId="446D5CD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8、乙炔，氩气钢瓶（带气）及气阀等 各一瓶</w:t>
            </w:r>
          </w:p>
        </w:tc>
        <w:tc>
          <w:tcPr>
            <w:tcW w:w="594" w:type="dxa"/>
            <w:noWrap w:val="0"/>
            <w:vAlign w:val="center"/>
          </w:tcPr>
          <w:p w14:paraId="2A2ADD95">
            <w:pPr>
              <w:keepNext w:val="0"/>
              <w:keepLines w:val="0"/>
              <w:pageBreakBefore w:val="0"/>
              <w:kinsoku/>
              <w:overflowPunct/>
              <w:topLinePunct w:val="0"/>
              <w:bidi w:val="0"/>
              <w:snapToGrid/>
              <w:spacing w:after="0"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台</w:t>
            </w:r>
          </w:p>
        </w:tc>
        <w:tc>
          <w:tcPr>
            <w:tcW w:w="491" w:type="dxa"/>
            <w:noWrap w:val="0"/>
            <w:vAlign w:val="center"/>
          </w:tcPr>
          <w:p w14:paraId="2F1CE4E6">
            <w:pPr>
              <w:keepNext w:val="0"/>
              <w:keepLines w:val="0"/>
              <w:pageBreakBefore w:val="0"/>
              <w:kinsoku/>
              <w:overflowPunct/>
              <w:topLinePunct w:val="0"/>
              <w:bidi w:val="0"/>
              <w:snapToGrid/>
              <w:spacing w:after="0"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w:t>
            </w:r>
          </w:p>
        </w:tc>
      </w:tr>
      <w:tr w14:paraId="34D7C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043D36E4">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4</w:t>
            </w:r>
          </w:p>
        </w:tc>
        <w:tc>
          <w:tcPr>
            <w:tcW w:w="1483" w:type="dxa"/>
            <w:noWrap w:val="0"/>
            <w:vAlign w:val="center"/>
          </w:tcPr>
          <w:p w14:paraId="4BE3F5BE">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高压制备色谱</w:t>
            </w:r>
          </w:p>
        </w:tc>
        <w:tc>
          <w:tcPr>
            <w:tcW w:w="5339" w:type="dxa"/>
            <w:noWrap/>
            <w:vAlign w:val="center"/>
          </w:tcPr>
          <w:tbl>
            <w:tblPr>
              <w:tblStyle w:val="28"/>
              <w:tblW w:w="8763"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560"/>
              <w:gridCol w:w="6120"/>
              <w:gridCol w:w="1133"/>
              <w:gridCol w:w="950"/>
            </w:tblGrid>
            <w:tr w14:paraId="0BD3F3F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02" w:hRule="atLeast"/>
              </w:trPr>
              <w:tc>
                <w:tcPr>
                  <w:tcW w:w="560" w:type="dxa"/>
                  <w:tcBorders>
                    <w:top w:val="single" w:color="000000" w:sz="8" w:space="0"/>
                    <w:left w:val="single" w:color="000000" w:sz="8" w:space="0"/>
                    <w:bottom w:val="single" w:color="000000" w:sz="4" w:space="0"/>
                    <w:right w:val="single" w:color="000000" w:sz="4" w:space="0"/>
                  </w:tcBorders>
                  <w:noWrap w:val="0"/>
                  <w:vAlign w:val="center"/>
                </w:tcPr>
                <w:p w14:paraId="458DA3A3">
                  <w:pPr>
                    <w:keepNext w:val="0"/>
                    <w:keepLines w:val="0"/>
                    <w:pageBreakBefore w:val="0"/>
                    <w:widowControl/>
                    <w:kinsoku/>
                    <w:overflowPunct/>
                    <w:topLinePunct w:val="0"/>
                    <w:bidi w:val="0"/>
                    <w:snapToGrid/>
                    <w:spacing w:line="440" w:lineRule="exact"/>
                    <w:jc w:val="center"/>
                    <w:textAlignment w:val="auto"/>
                    <w:rPr>
                      <w:rStyle w:val="50"/>
                      <w:rFonts w:hint="eastAsia" w:ascii="宋体" w:hAnsi="宋体" w:eastAsia="宋体" w:cs="宋体"/>
                      <w:b/>
                      <w:bCs/>
                      <w:color w:val="auto"/>
                      <w:kern w:val="0"/>
                      <w:sz w:val="21"/>
                      <w:szCs w:val="21"/>
                      <w:highlight w:val="none"/>
                    </w:rPr>
                  </w:pPr>
                  <w:r>
                    <w:rPr>
                      <w:rStyle w:val="50"/>
                      <w:rFonts w:hint="eastAsia" w:ascii="宋体" w:hAnsi="宋体" w:eastAsia="宋体" w:cs="宋体"/>
                      <w:b/>
                      <w:bCs/>
                      <w:color w:val="auto"/>
                      <w:kern w:val="0"/>
                      <w:sz w:val="21"/>
                      <w:szCs w:val="21"/>
                      <w:highlight w:val="none"/>
                    </w:rPr>
                    <w:t>序号</w:t>
                  </w:r>
                </w:p>
              </w:tc>
              <w:tc>
                <w:tcPr>
                  <w:tcW w:w="6120" w:type="dxa"/>
                  <w:tcBorders>
                    <w:top w:val="single" w:color="000000" w:sz="8" w:space="0"/>
                    <w:left w:val="nil"/>
                    <w:bottom w:val="single" w:color="000000" w:sz="4" w:space="0"/>
                    <w:right w:val="single" w:color="000000" w:sz="4" w:space="0"/>
                  </w:tcBorders>
                  <w:noWrap w:val="0"/>
                  <w:vAlign w:val="center"/>
                </w:tcPr>
                <w:p w14:paraId="680C09E5">
                  <w:pPr>
                    <w:keepNext w:val="0"/>
                    <w:keepLines w:val="0"/>
                    <w:pageBreakBefore w:val="0"/>
                    <w:widowControl/>
                    <w:kinsoku/>
                    <w:overflowPunct/>
                    <w:topLinePunct w:val="0"/>
                    <w:bidi w:val="0"/>
                    <w:snapToGrid/>
                    <w:spacing w:line="440" w:lineRule="exact"/>
                    <w:jc w:val="center"/>
                    <w:textAlignment w:val="auto"/>
                    <w:rPr>
                      <w:rStyle w:val="50"/>
                      <w:rFonts w:hint="eastAsia" w:ascii="宋体" w:hAnsi="宋体" w:eastAsia="宋体" w:cs="宋体"/>
                      <w:b/>
                      <w:bCs/>
                      <w:color w:val="auto"/>
                      <w:kern w:val="0"/>
                      <w:sz w:val="21"/>
                      <w:szCs w:val="21"/>
                      <w:highlight w:val="none"/>
                    </w:rPr>
                  </w:pPr>
                  <w:r>
                    <w:rPr>
                      <w:rStyle w:val="50"/>
                      <w:rFonts w:hint="eastAsia" w:ascii="宋体" w:hAnsi="宋体" w:eastAsia="宋体" w:cs="宋体"/>
                      <w:b/>
                      <w:bCs/>
                      <w:color w:val="auto"/>
                      <w:kern w:val="0"/>
                      <w:sz w:val="21"/>
                      <w:szCs w:val="21"/>
                      <w:highlight w:val="none"/>
                    </w:rPr>
                    <w:t>商品名称及规格型号</w:t>
                  </w:r>
                </w:p>
              </w:tc>
              <w:tc>
                <w:tcPr>
                  <w:tcW w:w="1133" w:type="dxa"/>
                  <w:tcBorders>
                    <w:top w:val="single" w:color="000000" w:sz="8" w:space="0"/>
                    <w:left w:val="nil"/>
                    <w:bottom w:val="single" w:color="000000" w:sz="4" w:space="0"/>
                    <w:right w:val="single" w:color="000000" w:sz="4" w:space="0"/>
                  </w:tcBorders>
                  <w:noWrap w:val="0"/>
                  <w:vAlign w:val="center"/>
                </w:tcPr>
                <w:p w14:paraId="77571F22">
                  <w:pPr>
                    <w:keepNext w:val="0"/>
                    <w:keepLines w:val="0"/>
                    <w:pageBreakBefore w:val="0"/>
                    <w:widowControl/>
                    <w:kinsoku/>
                    <w:overflowPunct/>
                    <w:topLinePunct w:val="0"/>
                    <w:bidi w:val="0"/>
                    <w:snapToGrid/>
                    <w:spacing w:line="440" w:lineRule="exact"/>
                    <w:jc w:val="center"/>
                    <w:textAlignment w:val="auto"/>
                    <w:rPr>
                      <w:rStyle w:val="50"/>
                      <w:rFonts w:hint="eastAsia" w:ascii="宋体" w:hAnsi="宋体" w:eastAsia="宋体" w:cs="宋体"/>
                      <w:b/>
                      <w:bCs/>
                      <w:color w:val="auto"/>
                      <w:kern w:val="0"/>
                      <w:sz w:val="21"/>
                      <w:szCs w:val="21"/>
                      <w:highlight w:val="none"/>
                    </w:rPr>
                  </w:pPr>
                  <w:r>
                    <w:rPr>
                      <w:rStyle w:val="50"/>
                      <w:rFonts w:hint="eastAsia" w:ascii="宋体" w:hAnsi="宋体" w:eastAsia="宋体" w:cs="宋体"/>
                      <w:b/>
                      <w:bCs/>
                      <w:color w:val="auto"/>
                      <w:kern w:val="0"/>
                      <w:sz w:val="21"/>
                      <w:szCs w:val="21"/>
                      <w:highlight w:val="none"/>
                    </w:rPr>
                    <w:t>单位</w:t>
                  </w:r>
                </w:p>
              </w:tc>
              <w:tc>
                <w:tcPr>
                  <w:tcW w:w="950" w:type="dxa"/>
                  <w:tcBorders>
                    <w:top w:val="single" w:color="000000" w:sz="8" w:space="0"/>
                    <w:left w:val="nil"/>
                    <w:bottom w:val="single" w:color="000000" w:sz="4" w:space="0"/>
                    <w:right w:val="single" w:color="000000" w:sz="4" w:space="0"/>
                  </w:tcBorders>
                  <w:noWrap w:val="0"/>
                  <w:vAlign w:val="center"/>
                </w:tcPr>
                <w:p w14:paraId="7C2C268C">
                  <w:pPr>
                    <w:keepNext w:val="0"/>
                    <w:keepLines w:val="0"/>
                    <w:pageBreakBefore w:val="0"/>
                    <w:widowControl/>
                    <w:kinsoku/>
                    <w:overflowPunct/>
                    <w:topLinePunct w:val="0"/>
                    <w:bidi w:val="0"/>
                    <w:snapToGrid/>
                    <w:spacing w:line="440" w:lineRule="exact"/>
                    <w:jc w:val="center"/>
                    <w:textAlignment w:val="auto"/>
                    <w:rPr>
                      <w:rStyle w:val="50"/>
                      <w:rFonts w:hint="eastAsia" w:ascii="宋体" w:hAnsi="宋体" w:eastAsia="宋体" w:cs="宋体"/>
                      <w:b/>
                      <w:bCs/>
                      <w:color w:val="auto"/>
                      <w:kern w:val="0"/>
                      <w:sz w:val="21"/>
                      <w:szCs w:val="21"/>
                      <w:highlight w:val="none"/>
                    </w:rPr>
                  </w:pPr>
                  <w:r>
                    <w:rPr>
                      <w:rStyle w:val="50"/>
                      <w:rFonts w:hint="eastAsia" w:ascii="宋体" w:hAnsi="宋体" w:eastAsia="宋体" w:cs="宋体"/>
                      <w:b/>
                      <w:bCs/>
                      <w:color w:val="auto"/>
                      <w:kern w:val="0"/>
                      <w:sz w:val="21"/>
                      <w:szCs w:val="21"/>
                      <w:highlight w:val="none"/>
                    </w:rPr>
                    <w:t>数量</w:t>
                  </w:r>
                </w:p>
              </w:tc>
            </w:tr>
            <w:tr w14:paraId="023E0EE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02" w:hRule="atLeast"/>
              </w:trPr>
              <w:tc>
                <w:tcPr>
                  <w:tcW w:w="560" w:type="dxa"/>
                  <w:tcBorders>
                    <w:top w:val="nil"/>
                    <w:left w:val="single" w:color="000000" w:sz="8" w:space="0"/>
                    <w:bottom w:val="single" w:color="000000" w:sz="4" w:space="0"/>
                    <w:right w:val="single" w:color="000000" w:sz="4" w:space="0"/>
                  </w:tcBorders>
                  <w:noWrap w:val="0"/>
                  <w:vAlign w:val="center"/>
                </w:tcPr>
                <w:p w14:paraId="4CB19719">
                  <w:pPr>
                    <w:keepNext w:val="0"/>
                    <w:keepLines w:val="0"/>
                    <w:pageBreakBefore w:val="0"/>
                    <w:widowControl/>
                    <w:kinsoku/>
                    <w:overflowPunct/>
                    <w:topLinePunct w:val="0"/>
                    <w:bidi w:val="0"/>
                    <w:snapToGrid/>
                    <w:spacing w:line="440" w:lineRule="exact"/>
                    <w:jc w:val="center"/>
                    <w:textAlignment w:val="auto"/>
                    <w:rPr>
                      <w:rStyle w:val="50"/>
                      <w:rFonts w:hint="eastAsia" w:ascii="宋体" w:hAnsi="宋体" w:eastAsia="宋体" w:cs="宋体"/>
                      <w:b/>
                      <w:bCs/>
                      <w:color w:val="auto"/>
                      <w:kern w:val="0"/>
                      <w:sz w:val="21"/>
                      <w:szCs w:val="21"/>
                      <w:highlight w:val="none"/>
                    </w:rPr>
                  </w:pPr>
                  <w:r>
                    <w:rPr>
                      <w:rStyle w:val="50"/>
                      <w:rFonts w:hint="eastAsia" w:ascii="宋体" w:hAnsi="宋体" w:eastAsia="宋体" w:cs="宋体"/>
                      <w:b/>
                      <w:bCs/>
                      <w:color w:val="auto"/>
                      <w:kern w:val="0"/>
                      <w:sz w:val="21"/>
                      <w:szCs w:val="21"/>
                      <w:highlight w:val="none"/>
                    </w:rPr>
                    <w:t>01</w:t>
                  </w:r>
                </w:p>
              </w:tc>
              <w:tc>
                <w:tcPr>
                  <w:tcW w:w="6120" w:type="dxa"/>
                  <w:tcBorders>
                    <w:top w:val="single" w:color="000000" w:sz="4" w:space="0"/>
                    <w:left w:val="nil"/>
                    <w:bottom w:val="single" w:color="000000" w:sz="4" w:space="0"/>
                    <w:right w:val="single" w:color="000000" w:sz="4" w:space="0"/>
                  </w:tcBorders>
                  <w:noWrap w:val="0"/>
                  <w:vAlign w:val="center"/>
                </w:tcPr>
                <w:p w14:paraId="4CFB54EB">
                  <w:pPr>
                    <w:keepNext w:val="0"/>
                    <w:keepLines w:val="0"/>
                    <w:pageBreakBefore w:val="0"/>
                    <w:kinsoku/>
                    <w:overflowPunct/>
                    <w:topLinePunct w:val="0"/>
                    <w:bidi w:val="0"/>
                    <w:snapToGrid/>
                    <w:spacing w:line="440" w:lineRule="exact"/>
                    <w:textAlignment w:val="auto"/>
                    <w:rPr>
                      <w:rStyle w:val="50"/>
                      <w:rFonts w:hint="eastAsia" w:ascii="宋体" w:hAnsi="宋体" w:eastAsia="宋体" w:cs="宋体"/>
                      <w:bCs/>
                      <w:color w:val="auto"/>
                      <w:kern w:val="0"/>
                      <w:sz w:val="21"/>
                      <w:szCs w:val="21"/>
                      <w:highlight w:val="none"/>
                    </w:rPr>
                  </w:pPr>
                  <w:r>
                    <w:rPr>
                      <w:rStyle w:val="50"/>
                      <w:rFonts w:hint="eastAsia" w:ascii="宋体" w:hAnsi="宋体" w:eastAsia="宋体" w:cs="宋体"/>
                      <w:b/>
                      <w:color w:val="auto"/>
                      <w:kern w:val="0"/>
                      <w:sz w:val="21"/>
                      <w:szCs w:val="21"/>
                      <w:highlight w:val="none"/>
                    </w:rPr>
                    <w:t>制备输液泵（0.01-50ml/min)</w:t>
                  </w:r>
                </w:p>
              </w:tc>
              <w:tc>
                <w:tcPr>
                  <w:tcW w:w="1133" w:type="dxa"/>
                  <w:tcBorders>
                    <w:top w:val="nil"/>
                    <w:left w:val="nil"/>
                    <w:bottom w:val="single" w:color="000000" w:sz="4" w:space="0"/>
                    <w:right w:val="single" w:color="000000" w:sz="4" w:space="0"/>
                  </w:tcBorders>
                  <w:noWrap w:val="0"/>
                  <w:vAlign w:val="center"/>
                </w:tcPr>
                <w:p w14:paraId="47B60BD7">
                  <w:pPr>
                    <w:keepNext w:val="0"/>
                    <w:keepLines w:val="0"/>
                    <w:pageBreakBefore w:val="0"/>
                    <w:widowControl/>
                    <w:kinsoku/>
                    <w:overflowPunct/>
                    <w:topLinePunct w:val="0"/>
                    <w:bidi w:val="0"/>
                    <w:snapToGrid/>
                    <w:spacing w:line="440" w:lineRule="exact"/>
                    <w:jc w:val="center"/>
                    <w:textAlignment w:val="auto"/>
                    <w:rPr>
                      <w:rStyle w:val="50"/>
                      <w:rFonts w:hint="eastAsia" w:ascii="宋体" w:hAnsi="宋体" w:eastAsia="宋体" w:cs="宋体"/>
                      <w:b/>
                      <w:color w:val="auto"/>
                      <w:kern w:val="0"/>
                      <w:sz w:val="21"/>
                      <w:szCs w:val="21"/>
                      <w:highlight w:val="none"/>
                    </w:rPr>
                  </w:pPr>
                  <w:r>
                    <w:rPr>
                      <w:rStyle w:val="50"/>
                      <w:rFonts w:hint="eastAsia" w:ascii="宋体" w:hAnsi="宋体" w:eastAsia="宋体" w:cs="宋体"/>
                      <w:b/>
                      <w:color w:val="auto"/>
                      <w:kern w:val="0"/>
                      <w:sz w:val="21"/>
                      <w:szCs w:val="21"/>
                      <w:highlight w:val="none"/>
                    </w:rPr>
                    <w:t>台</w:t>
                  </w:r>
                </w:p>
              </w:tc>
              <w:tc>
                <w:tcPr>
                  <w:tcW w:w="950" w:type="dxa"/>
                  <w:tcBorders>
                    <w:top w:val="nil"/>
                    <w:left w:val="nil"/>
                    <w:bottom w:val="single" w:color="000000" w:sz="4" w:space="0"/>
                    <w:right w:val="single" w:color="000000" w:sz="4" w:space="0"/>
                  </w:tcBorders>
                  <w:noWrap w:val="0"/>
                  <w:vAlign w:val="center"/>
                </w:tcPr>
                <w:p w14:paraId="49A33778">
                  <w:pPr>
                    <w:keepNext w:val="0"/>
                    <w:keepLines w:val="0"/>
                    <w:pageBreakBefore w:val="0"/>
                    <w:widowControl/>
                    <w:kinsoku/>
                    <w:overflowPunct/>
                    <w:topLinePunct w:val="0"/>
                    <w:bidi w:val="0"/>
                    <w:snapToGrid/>
                    <w:spacing w:line="440" w:lineRule="exact"/>
                    <w:jc w:val="center"/>
                    <w:textAlignment w:val="auto"/>
                    <w:rPr>
                      <w:rStyle w:val="50"/>
                      <w:rFonts w:hint="eastAsia" w:ascii="宋体" w:hAnsi="宋体" w:eastAsia="宋体" w:cs="宋体"/>
                      <w:b/>
                      <w:color w:val="auto"/>
                      <w:kern w:val="0"/>
                      <w:sz w:val="21"/>
                      <w:szCs w:val="21"/>
                      <w:highlight w:val="none"/>
                    </w:rPr>
                  </w:pPr>
                  <w:r>
                    <w:rPr>
                      <w:rStyle w:val="50"/>
                      <w:rFonts w:hint="eastAsia" w:ascii="宋体" w:hAnsi="宋体" w:eastAsia="宋体" w:cs="宋体"/>
                      <w:b/>
                      <w:color w:val="auto"/>
                      <w:sz w:val="21"/>
                      <w:szCs w:val="21"/>
                      <w:highlight w:val="none"/>
                    </w:rPr>
                    <w:t>2</w:t>
                  </w:r>
                </w:p>
              </w:tc>
            </w:tr>
            <w:tr w14:paraId="0FDEE79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02" w:hRule="atLeast"/>
              </w:trPr>
              <w:tc>
                <w:tcPr>
                  <w:tcW w:w="560" w:type="dxa"/>
                  <w:tcBorders>
                    <w:top w:val="nil"/>
                    <w:left w:val="single" w:color="000000" w:sz="8" w:space="0"/>
                    <w:bottom w:val="single" w:color="000000" w:sz="4" w:space="0"/>
                    <w:right w:val="single" w:color="000000" w:sz="4" w:space="0"/>
                  </w:tcBorders>
                  <w:noWrap w:val="0"/>
                  <w:vAlign w:val="center"/>
                </w:tcPr>
                <w:p w14:paraId="632C9C73">
                  <w:pPr>
                    <w:keepNext w:val="0"/>
                    <w:keepLines w:val="0"/>
                    <w:pageBreakBefore w:val="0"/>
                    <w:widowControl/>
                    <w:kinsoku/>
                    <w:overflowPunct/>
                    <w:topLinePunct w:val="0"/>
                    <w:bidi w:val="0"/>
                    <w:snapToGrid/>
                    <w:spacing w:line="440" w:lineRule="exact"/>
                    <w:jc w:val="center"/>
                    <w:textAlignment w:val="auto"/>
                    <w:rPr>
                      <w:rStyle w:val="50"/>
                      <w:rFonts w:hint="eastAsia" w:ascii="宋体" w:hAnsi="宋体" w:eastAsia="宋体" w:cs="宋体"/>
                      <w:b/>
                      <w:bCs/>
                      <w:color w:val="auto"/>
                      <w:kern w:val="0"/>
                      <w:sz w:val="21"/>
                      <w:szCs w:val="21"/>
                      <w:highlight w:val="none"/>
                    </w:rPr>
                  </w:pPr>
                  <w:r>
                    <w:rPr>
                      <w:rStyle w:val="50"/>
                      <w:rFonts w:hint="eastAsia" w:ascii="宋体" w:hAnsi="宋体" w:eastAsia="宋体" w:cs="宋体"/>
                      <w:b/>
                      <w:bCs/>
                      <w:color w:val="auto"/>
                      <w:kern w:val="0"/>
                      <w:sz w:val="21"/>
                      <w:szCs w:val="21"/>
                      <w:highlight w:val="none"/>
                    </w:rPr>
                    <w:t>02</w:t>
                  </w:r>
                </w:p>
              </w:tc>
              <w:tc>
                <w:tcPr>
                  <w:tcW w:w="6120" w:type="dxa"/>
                  <w:tcBorders>
                    <w:top w:val="single" w:color="000000" w:sz="4" w:space="0"/>
                    <w:left w:val="nil"/>
                    <w:bottom w:val="single" w:color="000000" w:sz="4" w:space="0"/>
                    <w:right w:val="single" w:color="000000" w:sz="4" w:space="0"/>
                  </w:tcBorders>
                  <w:noWrap w:val="0"/>
                  <w:vAlign w:val="center"/>
                </w:tcPr>
                <w:p w14:paraId="4B556ABE">
                  <w:pPr>
                    <w:keepNext w:val="0"/>
                    <w:keepLines w:val="0"/>
                    <w:pageBreakBefore w:val="0"/>
                    <w:widowControl/>
                    <w:kinsoku/>
                    <w:overflowPunct/>
                    <w:topLinePunct w:val="0"/>
                    <w:bidi w:val="0"/>
                    <w:snapToGrid/>
                    <w:spacing w:line="440" w:lineRule="exact"/>
                    <w:textAlignment w:val="auto"/>
                    <w:rPr>
                      <w:rStyle w:val="50"/>
                      <w:rFonts w:hint="eastAsia" w:ascii="宋体" w:hAnsi="宋体" w:eastAsia="宋体" w:cs="宋体"/>
                      <w:b/>
                      <w:bCs/>
                      <w:color w:val="auto"/>
                      <w:kern w:val="0"/>
                      <w:sz w:val="21"/>
                      <w:szCs w:val="21"/>
                      <w:highlight w:val="none"/>
                    </w:rPr>
                  </w:pPr>
                  <w:r>
                    <w:rPr>
                      <w:rStyle w:val="50"/>
                      <w:rFonts w:hint="eastAsia" w:ascii="宋体" w:hAnsi="宋体" w:eastAsia="宋体" w:cs="宋体"/>
                      <w:b/>
                      <w:bCs/>
                      <w:color w:val="auto"/>
                      <w:kern w:val="0"/>
                      <w:sz w:val="21"/>
                      <w:szCs w:val="21"/>
                      <w:highlight w:val="none"/>
                    </w:rPr>
                    <w:t>制备型可变波长紫外检测器（50ml）</w:t>
                  </w:r>
                </w:p>
              </w:tc>
              <w:tc>
                <w:tcPr>
                  <w:tcW w:w="1133" w:type="dxa"/>
                  <w:tcBorders>
                    <w:top w:val="nil"/>
                    <w:left w:val="nil"/>
                    <w:bottom w:val="single" w:color="000000" w:sz="4" w:space="0"/>
                    <w:right w:val="single" w:color="000000" w:sz="4" w:space="0"/>
                  </w:tcBorders>
                  <w:noWrap w:val="0"/>
                  <w:vAlign w:val="center"/>
                </w:tcPr>
                <w:p w14:paraId="3FDA055B">
                  <w:pPr>
                    <w:keepNext w:val="0"/>
                    <w:keepLines w:val="0"/>
                    <w:pageBreakBefore w:val="0"/>
                    <w:widowControl/>
                    <w:kinsoku/>
                    <w:overflowPunct/>
                    <w:topLinePunct w:val="0"/>
                    <w:bidi w:val="0"/>
                    <w:snapToGrid/>
                    <w:spacing w:line="440" w:lineRule="exact"/>
                    <w:jc w:val="center"/>
                    <w:textAlignment w:val="auto"/>
                    <w:rPr>
                      <w:rStyle w:val="50"/>
                      <w:rFonts w:hint="eastAsia" w:ascii="宋体" w:hAnsi="宋体" w:eastAsia="宋体" w:cs="宋体"/>
                      <w:b/>
                      <w:color w:val="auto"/>
                      <w:kern w:val="0"/>
                      <w:sz w:val="21"/>
                      <w:szCs w:val="21"/>
                      <w:highlight w:val="none"/>
                    </w:rPr>
                  </w:pPr>
                  <w:r>
                    <w:rPr>
                      <w:rStyle w:val="50"/>
                      <w:rFonts w:hint="eastAsia" w:ascii="宋体" w:hAnsi="宋体" w:eastAsia="宋体" w:cs="宋体"/>
                      <w:b/>
                      <w:color w:val="auto"/>
                      <w:kern w:val="0"/>
                      <w:sz w:val="21"/>
                      <w:szCs w:val="21"/>
                      <w:highlight w:val="none"/>
                    </w:rPr>
                    <w:t>台</w:t>
                  </w:r>
                </w:p>
              </w:tc>
              <w:tc>
                <w:tcPr>
                  <w:tcW w:w="950" w:type="dxa"/>
                  <w:tcBorders>
                    <w:top w:val="nil"/>
                    <w:left w:val="nil"/>
                    <w:bottom w:val="single" w:color="000000" w:sz="4" w:space="0"/>
                    <w:right w:val="single" w:color="000000" w:sz="4" w:space="0"/>
                  </w:tcBorders>
                  <w:noWrap w:val="0"/>
                  <w:vAlign w:val="center"/>
                </w:tcPr>
                <w:p w14:paraId="10EA4197">
                  <w:pPr>
                    <w:keepNext w:val="0"/>
                    <w:keepLines w:val="0"/>
                    <w:pageBreakBefore w:val="0"/>
                    <w:widowControl/>
                    <w:kinsoku/>
                    <w:overflowPunct/>
                    <w:topLinePunct w:val="0"/>
                    <w:bidi w:val="0"/>
                    <w:snapToGrid/>
                    <w:spacing w:line="440" w:lineRule="exact"/>
                    <w:jc w:val="center"/>
                    <w:textAlignment w:val="auto"/>
                    <w:rPr>
                      <w:rStyle w:val="50"/>
                      <w:rFonts w:hint="eastAsia" w:ascii="宋体" w:hAnsi="宋体" w:eastAsia="宋体" w:cs="宋体"/>
                      <w:b/>
                      <w:color w:val="auto"/>
                      <w:kern w:val="0"/>
                      <w:sz w:val="21"/>
                      <w:szCs w:val="21"/>
                      <w:highlight w:val="none"/>
                    </w:rPr>
                  </w:pPr>
                  <w:r>
                    <w:rPr>
                      <w:rStyle w:val="50"/>
                      <w:rFonts w:hint="eastAsia" w:ascii="宋体" w:hAnsi="宋体" w:eastAsia="宋体" w:cs="宋体"/>
                      <w:b/>
                      <w:color w:val="auto"/>
                      <w:kern w:val="0"/>
                      <w:sz w:val="21"/>
                      <w:szCs w:val="21"/>
                      <w:highlight w:val="none"/>
                    </w:rPr>
                    <w:t>1</w:t>
                  </w:r>
                </w:p>
              </w:tc>
            </w:tr>
            <w:tr w14:paraId="0A49698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02" w:hRule="atLeast"/>
              </w:trPr>
              <w:tc>
                <w:tcPr>
                  <w:tcW w:w="560" w:type="dxa"/>
                  <w:tcBorders>
                    <w:top w:val="nil"/>
                    <w:left w:val="single" w:color="000000" w:sz="8" w:space="0"/>
                    <w:bottom w:val="single" w:color="000000" w:sz="4" w:space="0"/>
                    <w:right w:val="single" w:color="000000" w:sz="4" w:space="0"/>
                  </w:tcBorders>
                  <w:noWrap w:val="0"/>
                  <w:vAlign w:val="center"/>
                </w:tcPr>
                <w:p w14:paraId="67A2035A">
                  <w:pPr>
                    <w:keepNext w:val="0"/>
                    <w:keepLines w:val="0"/>
                    <w:pageBreakBefore w:val="0"/>
                    <w:widowControl/>
                    <w:kinsoku/>
                    <w:overflowPunct/>
                    <w:topLinePunct w:val="0"/>
                    <w:bidi w:val="0"/>
                    <w:snapToGrid/>
                    <w:spacing w:line="440" w:lineRule="exact"/>
                    <w:jc w:val="center"/>
                    <w:textAlignment w:val="auto"/>
                    <w:rPr>
                      <w:rStyle w:val="50"/>
                      <w:rFonts w:hint="eastAsia" w:ascii="宋体" w:hAnsi="宋体" w:eastAsia="宋体" w:cs="宋体"/>
                      <w:b/>
                      <w:bCs/>
                      <w:color w:val="auto"/>
                      <w:kern w:val="0"/>
                      <w:sz w:val="21"/>
                      <w:szCs w:val="21"/>
                      <w:highlight w:val="none"/>
                    </w:rPr>
                  </w:pPr>
                  <w:r>
                    <w:rPr>
                      <w:rStyle w:val="50"/>
                      <w:rFonts w:hint="eastAsia" w:ascii="宋体" w:hAnsi="宋体" w:eastAsia="宋体" w:cs="宋体"/>
                      <w:b/>
                      <w:bCs/>
                      <w:color w:val="auto"/>
                      <w:kern w:val="0"/>
                      <w:sz w:val="21"/>
                      <w:szCs w:val="21"/>
                      <w:highlight w:val="none"/>
                    </w:rPr>
                    <w:t>03</w:t>
                  </w:r>
                </w:p>
              </w:tc>
              <w:tc>
                <w:tcPr>
                  <w:tcW w:w="6120" w:type="dxa"/>
                  <w:tcBorders>
                    <w:top w:val="single" w:color="000000" w:sz="4" w:space="0"/>
                    <w:left w:val="nil"/>
                    <w:bottom w:val="single" w:color="000000" w:sz="4" w:space="0"/>
                    <w:right w:val="single" w:color="000000" w:sz="4" w:space="0"/>
                  </w:tcBorders>
                  <w:noWrap w:val="0"/>
                  <w:vAlign w:val="center"/>
                </w:tcPr>
                <w:p w14:paraId="3FC169AB">
                  <w:pPr>
                    <w:keepNext w:val="0"/>
                    <w:keepLines w:val="0"/>
                    <w:pageBreakBefore w:val="0"/>
                    <w:widowControl/>
                    <w:kinsoku/>
                    <w:overflowPunct/>
                    <w:topLinePunct w:val="0"/>
                    <w:bidi w:val="0"/>
                    <w:snapToGrid/>
                    <w:spacing w:line="440" w:lineRule="exact"/>
                    <w:textAlignment w:val="auto"/>
                    <w:rPr>
                      <w:rStyle w:val="50"/>
                      <w:rFonts w:hint="eastAsia" w:ascii="宋体" w:hAnsi="宋体" w:eastAsia="宋体" w:cs="宋体"/>
                      <w:b/>
                      <w:bCs/>
                      <w:color w:val="auto"/>
                      <w:kern w:val="0"/>
                      <w:sz w:val="21"/>
                      <w:szCs w:val="21"/>
                      <w:highlight w:val="none"/>
                    </w:rPr>
                  </w:pPr>
                  <w:r>
                    <w:rPr>
                      <w:rStyle w:val="50"/>
                      <w:rFonts w:hint="eastAsia" w:ascii="宋体" w:hAnsi="宋体" w:eastAsia="宋体" w:cs="宋体"/>
                      <w:b/>
                      <w:bCs/>
                      <w:color w:val="auto"/>
                      <w:kern w:val="0"/>
                      <w:sz w:val="21"/>
                      <w:szCs w:val="21"/>
                      <w:highlight w:val="none"/>
                    </w:rPr>
                    <w:t>液相色谱柱C-18 10</w:t>
                  </w:r>
                  <w:r>
                    <w:rPr>
                      <w:rFonts w:hint="eastAsia" w:ascii="宋体" w:hAnsi="宋体" w:eastAsia="宋体" w:cs="宋体"/>
                      <w:b/>
                      <w:bCs/>
                      <w:color w:val="auto"/>
                      <w:sz w:val="21"/>
                      <w:szCs w:val="21"/>
                      <w:highlight w:val="none"/>
                    </w:rPr>
                    <w:t xml:space="preserve"> mm×250 mm×10.0 μm</w:t>
                  </w:r>
                </w:p>
              </w:tc>
              <w:tc>
                <w:tcPr>
                  <w:tcW w:w="1133" w:type="dxa"/>
                  <w:tcBorders>
                    <w:top w:val="nil"/>
                    <w:left w:val="nil"/>
                    <w:bottom w:val="single" w:color="000000" w:sz="4" w:space="0"/>
                    <w:right w:val="single" w:color="000000" w:sz="4" w:space="0"/>
                  </w:tcBorders>
                  <w:noWrap w:val="0"/>
                  <w:vAlign w:val="center"/>
                </w:tcPr>
                <w:p w14:paraId="3BA8FBC7">
                  <w:pPr>
                    <w:keepNext w:val="0"/>
                    <w:keepLines w:val="0"/>
                    <w:pageBreakBefore w:val="0"/>
                    <w:widowControl/>
                    <w:kinsoku/>
                    <w:overflowPunct/>
                    <w:topLinePunct w:val="0"/>
                    <w:bidi w:val="0"/>
                    <w:snapToGrid/>
                    <w:spacing w:line="440" w:lineRule="exact"/>
                    <w:jc w:val="center"/>
                    <w:textAlignment w:val="auto"/>
                    <w:rPr>
                      <w:rStyle w:val="50"/>
                      <w:rFonts w:hint="eastAsia" w:ascii="宋体" w:hAnsi="宋体" w:eastAsia="宋体" w:cs="宋体"/>
                      <w:b/>
                      <w:color w:val="auto"/>
                      <w:kern w:val="0"/>
                      <w:sz w:val="21"/>
                      <w:szCs w:val="21"/>
                      <w:highlight w:val="none"/>
                    </w:rPr>
                  </w:pPr>
                  <w:r>
                    <w:rPr>
                      <w:rStyle w:val="50"/>
                      <w:rFonts w:hint="eastAsia" w:ascii="宋体" w:hAnsi="宋体" w:eastAsia="宋体" w:cs="宋体"/>
                      <w:b/>
                      <w:color w:val="auto"/>
                      <w:kern w:val="0"/>
                      <w:sz w:val="21"/>
                      <w:szCs w:val="21"/>
                      <w:highlight w:val="none"/>
                    </w:rPr>
                    <w:t>支</w:t>
                  </w:r>
                </w:p>
              </w:tc>
              <w:tc>
                <w:tcPr>
                  <w:tcW w:w="950" w:type="dxa"/>
                  <w:tcBorders>
                    <w:top w:val="nil"/>
                    <w:left w:val="nil"/>
                    <w:bottom w:val="single" w:color="000000" w:sz="4" w:space="0"/>
                    <w:right w:val="single" w:color="000000" w:sz="4" w:space="0"/>
                  </w:tcBorders>
                  <w:noWrap w:val="0"/>
                  <w:vAlign w:val="center"/>
                </w:tcPr>
                <w:p w14:paraId="0F9D7D22">
                  <w:pPr>
                    <w:keepNext w:val="0"/>
                    <w:keepLines w:val="0"/>
                    <w:pageBreakBefore w:val="0"/>
                    <w:widowControl/>
                    <w:kinsoku/>
                    <w:overflowPunct/>
                    <w:topLinePunct w:val="0"/>
                    <w:bidi w:val="0"/>
                    <w:snapToGrid/>
                    <w:spacing w:line="440" w:lineRule="exact"/>
                    <w:jc w:val="center"/>
                    <w:textAlignment w:val="auto"/>
                    <w:rPr>
                      <w:rStyle w:val="50"/>
                      <w:rFonts w:hint="eastAsia" w:ascii="宋体" w:hAnsi="宋体" w:eastAsia="宋体" w:cs="宋体"/>
                      <w:b/>
                      <w:color w:val="auto"/>
                      <w:kern w:val="0"/>
                      <w:sz w:val="21"/>
                      <w:szCs w:val="21"/>
                      <w:highlight w:val="none"/>
                    </w:rPr>
                  </w:pPr>
                  <w:r>
                    <w:rPr>
                      <w:rStyle w:val="50"/>
                      <w:rFonts w:hint="eastAsia" w:ascii="宋体" w:hAnsi="宋体" w:eastAsia="宋体" w:cs="宋体"/>
                      <w:b/>
                      <w:color w:val="auto"/>
                      <w:kern w:val="0"/>
                      <w:sz w:val="21"/>
                      <w:szCs w:val="21"/>
                      <w:highlight w:val="none"/>
                    </w:rPr>
                    <w:t>1</w:t>
                  </w:r>
                </w:p>
              </w:tc>
            </w:tr>
            <w:tr w14:paraId="2F84E71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02" w:hRule="atLeast"/>
              </w:trPr>
              <w:tc>
                <w:tcPr>
                  <w:tcW w:w="560" w:type="dxa"/>
                  <w:tcBorders>
                    <w:top w:val="nil"/>
                    <w:left w:val="single" w:color="000000" w:sz="8" w:space="0"/>
                    <w:bottom w:val="single" w:color="000000" w:sz="4" w:space="0"/>
                    <w:right w:val="single" w:color="000000" w:sz="4" w:space="0"/>
                  </w:tcBorders>
                  <w:noWrap w:val="0"/>
                  <w:vAlign w:val="center"/>
                </w:tcPr>
                <w:p w14:paraId="09A70AA0">
                  <w:pPr>
                    <w:keepNext w:val="0"/>
                    <w:keepLines w:val="0"/>
                    <w:pageBreakBefore w:val="0"/>
                    <w:widowControl/>
                    <w:kinsoku/>
                    <w:overflowPunct/>
                    <w:topLinePunct w:val="0"/>
                    <w:bidi w:val="0"/>
                    <w:snapToGrid/>
                    <w:spacing w:line="440" w:lineRule="exact"/>
                    <w:jc w:val="center"/>
                    <w:textAlignment w:val="auto"/>
                    <w:rPr>
                      <w:rStyle w:val="50"/>
                      <w:rFonts w:hint="eastAsia" w:ascii="宋体" w:hAnsi="宋体" w:eastAsia="宋体" w:cs="宋体"/>
                      <w:b/>
                      <w:bCs/>
                      <w:color w:val="auto"/>
                      <w:kern w:val="0"/>
                      <w:sz w:val="21"/>
                      <w:szCs w:val="21"/>
                      <w:highlight w:val="none"/>
                    </w:rPr>
                  </w:pPr>
                  <w:r>
                    <w:rPr>
                      <w:rStyle w:val="50"/>
                      <w:rFonts w:hint="eastAsia" w:ascii="宋体" w:hAnsi="宋体" w:eastAsia="宋体" w:cs="宋体"/>
                      <w:b/>
                      <w:bCs/>
                      <w:color w:val="auto"/>
                      <w:kern w:val="0"/>
                      <w:sz w:val="21"/>
                      <w:szCs w:val="21"/>
                      <w:highlight w:val="none"/>
                    </w:rPr>
                    <w:t>04</w:t>
                  </w:r>
                </w:p>
              </w:tc>
              <w:tc>
                <w:tcPr>
                  <w:tcW w:w="6120" w:type="dxa"/>
                  <w:tcBorders>
                    <w:top w:val="single" w:color="000000" w:sz="4" w:space="0"/>
                    <w:left w:val="nil"/>
                    <w:bottom w:val="single" w:color="000000" w:sz="4" w:space="0"/>
                    <w:right w:val="single" w:color="000000" w:sz="4" w:space="0"/>
                  </w:tcBorders>
                  <w:noWrap w:val="0"/>
                  <w:vAlign w:val="center"/>
                </w:tcPr>
                <w:p w14:paraId="04E06921">
                  <w:pPr>
                    <w:keepNext w:val="0"/>
                    <w:keepLines w:val="0"/>
                    <w:pageBreakBefore w:val="0"/>
                    <w:widowControl/>
                    <w:kinsoku/>
                    <w:overflowPunct/>
                    <w:topLinePunct w:val="0"/>
                    <w:bidi w:val="0"/>
                    <w:snapToGrid/>
                    <w:spacing w:line="440" w:lineRule="exact"/>
                    <w:textAlignment w:val="auto"/>
                    <w:rPr>
                      <w:rStyle w:val="50"/>
                      <w:rFonts w:hint="eastAsia" w:ascii="宋体" w:hAnsi="宋体" w:eastAsia="宋体" w:cs="宋体"/>
                      <w:b/>
                      <w:bCs/>
                      <w:color w:val="auto"/>
                      <w:kern w:val="0"/>
                      <w:sz w:val="21"/>
                      <w:szCs w:val="21"/>
                      <w:highlight w:val="none"/>
                    </w:rPr>
                  </w:pPr>
                  <w:r>
                    <w:rPr>
                      <w:rStyle w:val="50"/>
                      <w:rFonts w:hint="eastAsia" w:ascii="宋体" w:hAnsi="宋体" w:eastAsia="宋体" w:cs="宋体"/>
                      <w:b/>
                      <w:bCs/>
                      <w:color w:val="auto"/>
                      <w:kern w:val="0"/>
                      <w:sz w:val="21"/>
                      <w:szCs w:val="21"/>
                      <w:highlight w:val="none"/>
                    </w:rPr>
                    <w:t>启动工具包（梯度）</w:t>
                  </w:r>
                </w:p>
              </w:tc>
              <w:tc>
                <w:tcPr>
                  <w:tcW w:w="1133" w:type="dxa"/>
                  <w:tcBorders>
                    <w:top w:val="nil"/>
                    <w:left w:val="nil"/>
                    <w:bottom w:val="single" w:color="000000" w:sz="4" w:space="0"/>
                    <w:right w:val="single" w:color="000000" w:sz="4" w:space="0"/>
                  </w:tcBorders>
                  <w:noWrap w:val="0"/>
                  <w:vAlign w:val="center"/>
                </w:tcPr>
                <w:p w14:paraId="6BC58F31">
                  <w:pPr>
                    <w:keepNext w:val="0"/>
                    <w:keepLines w:val="0"/>
                    <w:pageBreakBefore w:val="0"/>
                    <w:widowControl/>
                    <w:kinsoku/>
                    <w:overflowPunct/>
                    <w:topLinePunct w:val="0"/>
                    <w:bidi w:val="0"/>
                    <w:snapToGrid/>
                    <w:spacing w:line="440" w:lineRule="exact"/>
                    <w:jc w:val="center"/>
                    <w:textAlignment w:val="auto"/>
                    <w:rPr>
                      <w:rStyle w:val="50"/>
                      <w:rFonts w:hint="eastAsia" w:ascii="宋体" w:hAnsi="宋体" w:eastAsia="宋体" w:cs="宋体"/>
                      <w:b/>
                      <w:color w:val="auto"/>
                      <w:kern w:val="0"/>
                      <w:sz w:val="21"/>
                      <w:szCs w:val="21"/>
                      <w:highlight w:val="none"/>
                    </w:rPr>
                  </w:pPr>
                  <w:r>
                    <w:rPr>
                      <w:rStyle w:val="50"/>
                      <w:rFonts w:hint="eastAsia" w:ascii="宋体" w:hAnsi="宋体" w:eastAsia="宋体" w:cs="宋体"/>
                      <w:b/>
                      <w:color w:val="auto"/>
                      <w:kern w:val="0"/>
                      <w:sz w:val="21"/>
                      <w:szCs w:val="21"/>
                      <w:highlight w:val="none"/>
                    </w:rPr>
                    <w:t>套</w:t>
                  </w:r>
                </w:p>
              </w:tc>
              <w:tc>
                <w:tcPr>
                  <w:tcW w:w="950" w:type="dxa"/>
                  <w:tcBorders>
                    <w:top w:val="nil"/>
                    <w:left w:val="nil"/>
                    <w:bottom w:val="single" w:color="000000" w:sz="4" w:space="0"/>
                    <w:right w:val="single" w:color="000000" w:sz="4" w:space="0"/>
                  </w:tcBorders>
                  <w:noWrap w:val="0"/>
                  <w:vAlign w:val="center"/>
                </w:tcPr>
                <w:p w14:paraId="2B93580B">
                  <w:pPr>
                    <w:keepNext w:val="0"/>
                    <w:keepLines w:val="0"/>
                    <w:pageBreakBefore w:val="0"/>
                    <w:widowControl/>
                    <w:kinsoku/>
                    <w:overflowPunct/>
                    <w:topLinePunct w:val="0"/>
                    <w:bidi w:val="0"/>
                    <w:snapToGrid/>
                    <w:spacing w:line="440" w:lineRule="exact"/>
                    <w:jc w:val="center"/>
                    <w:textAlignment w:val="auto"/>
                    <w:rPr>
                      <w:rStyle w:val="50"/>
                      <w:rFonts w:hint="eastAsia" w:ascii="宋体" w:hAnsi="宋体" w:eastAsia="宋体" w:cs="宋体"/>
                      <w:b/>
                      <w:color w:val="auto"/>
                      <w:kern w:val="0"/>
                      <w:sz w:val="21"/>
                      <w:szCs w:val="21"/>
                      <w:highlight w:val="none"/>
                    </w:rPr>
                  </w:pPr>
                  <w:r>
                    <w:rPr>
                      <w:rStyle w:val="50"/>
                      <w:rFonts w:hint="eastAsia" w:ascii="宋体" w:hAnsi="宋体" w:eastAsia="宋体" w:cs="宋体"/>
                      <w:b/>
                      <w:color w:val="auto"/>
                      <w:kern w:val="0"/>
                      <w:sz w:val="21"/>
                      <w:szCs w:val="21"/>
                      <w:highlight w:val="none"/>
                    </w:rPr>
                    <w:t>1</w:t>
                  </w:r>
                </w:p>
              </w:tc>
            </w:tr>
            <w:tr w14:paraId="1FF07E9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02" w:hRule="atLeast"/>
              </w:trPr>
              <w:tc>
                <w:tcPr>
                  <w:tcW w:w="560" w:type="dxa"/>
                  <w:tcBorders>
                    <w:top w:val="nil"/>
                    <w:left w:val="single" w:color="000000" w:sz="8" w:space="0"/>
                    <w:bottom w:val="single" w:color="000000" w:sz="4" w:space="0"/>
                    <w:right w:val="single" w:color="000000" w:sz="4" w:space="0"/>
                  </w:tcBorders>
                  <w:noWrap w:val="0"/>
                  <w:vAlign w:val="center"/>
                </w:tcPr>
                <w:p w14:paraId="6853A4AF">
                  <w:pPr>
                    <w:keepNext w:val="0"/>
                    <w:keepLines w:val="0"/>
                    <w:pageBreakBefore w:val="0"/>
                    <w:widowControl/>
                    <w:kinsoku/>
                    <w:overflowPunct/>
                    <w:topLinePunct w:val="0"/>
                    <w:bidi w:val="0"/>
                    <w:snapToGrid/>
                    <w:spacing w:line="440" w:lineRule="exact"/>
                    <w:jc w:val="center"/>
                    <w:textAlignment w:val="auto"/>
                    <w:rPr>
                      <w:rStyle w:val="50"/>
                      <w:rFonts w:hint="eastAsia" w:ascii="宋体" w:hAnsi="宋体" w:eastAsia="宋体" w:cs="宋体"/>
                      <w:b/>
                      <w:bCs/>
                      <w:color w:val="auto"/>
                      <w:kern w:val="0"/>
                      <w:sz w:val="21"/>
                      <w:szCs w:val="21"/>
                      <w:highlight w:val="none"/>
                    </w:rPr>
                  </w:pPr>
                  <w:r>
                    <w:rPr>
                      <w:rStyle w:val="50"/>
                      <w:rFonts w:hint="eastAsia" w:ascii="宋体" w:hAnsi="宋体" w:eastAsia="宋体" w:cs="宋体"/>
                      <w:b/>
                      <w:bCs/>
                      <w:color w:val="auto"/>
                      <w:kern w:val="0"/>
                      <w:sz w:val="21"/>
                      <w:szCs w:val="21"/>
                      <w:highlight w:val="none"/>
                    </w:rPr>
                    <w:t>05</w:t>
                  </w:r>
                </w:p>
              </w:tc>
              <w:tc>
                <w:tcPr>
                  <w:tcW w:w="6120" w:type="dxa"/>
                  <w:tcBorders>
                    <w:top w:val="single" w:color="000000" w:sz="4" w:space="0"/>
                    <w:left w:val="nil"/>
                    <w:bottom w:val="single" w:color="000000" w:sz="4" w:space="0"/>
                    <w:right w:val="single" w:color="000000" w:sz="4" w:space="0"/>
                  </w:tcBorders>
                  <w:noWrap w:val="0"/>
                  <w:vAlign w:val="center"/>
                </w:tcPr>
                <w:p w14:paraId="567EFBEA">
                  <w:pPr>
                    <w:keepNext w:val="0"/>
                    <w:keepLines w:val="0"/>
                    <w:pageBreakBefore w:val="0"/>
                    <w:widowControl/>
                    <w:kinsoku/>
                    <w:overflowPunct/>
                    <w:topLinePunct w:val="0"/>
                    <w:bidi w:val="0"/>
                    <w:snapToGrid/>
                    <w:spacing w:line="440" w:lineRule="exact"/>
                    <w:textAlignment w:val="auto"/>
                    <w:rPr>
                      <w:rFonts w:hint="eastAsia" w:ascii="宋体" w:hAnsi="宋体" w:eastAsia="宋体" w:cs="宋体"/>
                      <w:b/>
                      <w:bCs/>
                      <w:color w:val="auto"/>
                      <w:kern w:val="0"/>
                      <w:sz w:val="21"/>
                      <w:szCs w:val="21"/>
                      <w:highlight w:val="none"/>
                    </w:rPr>
                  </w:pPr>
                  <w:r>
                    <w:rPr>
                      <w:rStyle w:val="50"/>
                      <w:rFonts w:hint="eastAsia" w:ascii="宋体" w:hAnsi="宋体" w:eastAsia="宋体" w:cs="宋体"/>
                      <w:b/>
                      <w:bCs/>
                      <w:color w:val="auto"/>
                      <w:kern w:val="0"/>
                      <w:sz w:val="21"/>
                      <w:szCs w:val="21"/>
                      <w:highlight w:val="none"/>
                    </w:rPr>
                    <w:t>色谱控制软件＋制备混合器</w:t>
                  </w:r>
                </w:p>
              </w:tc>
              <w:tc>
                <w:tcPr>
                  <w:tcW w:w="1133" w:type="dxa"/>
                  <w:tcBorders>
                    <w:top w:val="nil"/>
                    <w:left w:val="nil"/>
                    <w:bottom w:val="single" w:color="000000" w:sz="4" w:space="0"/>
                    <w:right w:val="single" w:color="000000" w:sz="4" w:space="0"/>
                  </w:tcBorders>
                  <w:noWrap w:val="0"/>
                  <w:vAlign w:val="center"/>
                </w:tcPr>
                <w:p w14:paraId="4F9D23BD">
                  <w:pPr>
                    <w:keepNext w:val="0"/>
                    <w:keepLines w:val="0"/>
                    <w:pageBreakBefore w:val="0"/>
                    <w:widowControl/>
                    <w:kinsoku/>
                    <w:overflowPunct/>
                    <w:topLinePunct w:val="0"/>
                    <w:bidi w:val="0"/>
                    <w:snapToGrid/>
                    <w:spacing w:line="440" w:lineRule="exact"/>
                    <w:jc w:val="center"/>
                    <w:textAlignment w:val="auto"/>
                    <w:rPr>
                      <w:rFonts w:hint="eastAsia" w:ascii="宋体" w:hAnsi="宋体" w:eastAsia="宋体" w:cs="宋体"/>
                      <w:b/>
                      <w:color w:val="auto"/>
                      <w:kern w:val="0"/>
                      <w:sz w:val="21"/>
                      <w:szCs w:val="21"/>
                      <w:highlight w:val="none"/>
                    </w:rPr>
                  </w:pPr>
                  <w:r>
                    <w:rPr>
                      <w:rStyle w:val="50"/>
                      <w:rFonts w:hint="eastAsia" w:ascii="宋体" w:hAnsi="宋体" w:eastAsia="宋体" w:cs="宋体"/>
                      <w:b/>
                      <w:color w:val="auto"/>
                      <w:kern w:val="0"/>
                      <w:sz w:val="21"/>
                      <w:szCs w:val="21"/>
                      <w:highlight w:val="none"/>
                    </w:rPr>
                    <w:t>套</w:t>
                  </w:r>
                </w:p>
              </w:tc>
              <w:tc>
                <w:tcPr>
                  <w:tcW w:w="950" w:type="dxa"/>
                  <w:tcBorders>
                    <w:top w:val="nil"/>
                    <w:left w:val="nil"/>
                    <w:bottom w:val="single" w:color="000000" w:sz="4" w:space="0"/>
                    <w:right w:val="single" w:color="000000" w:sz="4" w:space="0"/>
                  </w:tcBorders>
                  <w:noWrap w:val="0"/>
                  <w:vAlign w:val="center"/>
                </w:tcPr>
                <w:p w14:paraId="2686D620">
                  <w:pPr>
                    <w:keepNext w:val="0"/>
                    <w:keepLines w:val="0"/>
                    <w:pageBreakBefore w:val="0"/>
                    <w:widowControl/>
                    <w:kinsoku/>
                    <w:overflowPunct/>
                    <w:topLinePunct w:val="0"/>
                    <w:bidi w:val="0"/>
                    <w:snapToGrid/>
                    <w:spacing w:line="440" w:lineRule="exact"/>
                    <w:jc w:val="center"/>
                    <w:textAlignment w:val="auto"/>
                    <w:rPr>
                      <w:rFonts w:hint="eastAsia" w:ascii="宋体" w:hAnsi="宋体" w:eastAsia="宋体" w:cs="宋体"/>
                      <w:b/>
                      <w:color w:val="auto"/>
                      <w:kern w:val="0"/>
                      <w:sz w:val="21"/>
                      <w:szCs w:val="21"/>
                      <w:highlight w:val="none"/>
                    </w:rPr>
                  </w:pPr>
                  <w:r>
                    <w:rPr>
                      <w:rStyle w:val="50"/>
                      <w:rFonts w:hint="eastAsia" w:ascii="宋体" w:hAnsi="宋体" w:eastAsia="宋体" w:cs="宋体"/>
                      <w:b/>
                      <w:color w:val="auto"/>
                      <w:kern w:val="0"/>
                      <w:sz w:val="21"/>
                      <w:szCs w:val="21"/>
                      <w:highlight w:val="none"/>
                    </w:rPr>
                    <w:t>1</w:t>
                  </w:r>
                </w:p>
              </w:tc>
            </w:tr>
            <w:tr w14:paraId="7230391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02" w:hRule="atLeast"/>
              </w:trPr>
              <w:tc>
                <w:tcPr>
                  <w:tcW w:w="560" w:type="dxa"/>
                  <w:tcBorders>
                    <w:top w:val="nil"/>
                    <w:left w:val="single" w:color="000000" w:sz="8" w:space="0"/>
                    <w:bottom w:val="single" w:color="000000" w:sz="4" w:space="0"/>
                    <w:right w:val="single" w:color="000000" w:sz="4" w:space="0"/>
                  </w:tcBorders>
                  <w:noWrap w:val="0"/>
                  <w:vAlign w:val="center"/>
                </w:tcPr>
                <w:p w14:paraId="167B40A1">
                  <w:pPr>
                    <w:keepNext w:val="0"/>
                    <w:keepLines w:val="0"/>
                    <w:pageBreakBefore w:val="0"/>
                    <w:widowControl/>
                    <w:kinsoku/>
                    <w:overflowPunct/>
                    <w:topLinePunct w:val="0"/>
                    <w:bidi w:val="0"/>
                    <w:snapToGrid/>
                    <w:spacing w:line="440" w:lineRule="exact"/>
                    <w:jc w:val="center"/>
                    <w:textAlignment w:val="auto"/>
                    <w:rPr>
                      <w:rStyle w:val="50"/>
                      <w:rFonts w:hint="eastAsia" w:ascii="宋体" w:hAnsi="宋体" w:eastAsia="宋体" w:cs="宋体"/>
                      <w:b/>
                      <w:bCs/>
                      <w:color w:val="auto"/>
                      <w:kern w:val="0"/>
                      <w:sz w:val="21"/>
                      <w:szCs w:val="21"/>
                      <w:highlight w:val="none"/>
                    </w:rPr>
                  </w:pPr>
                  <w:r>
                    <w:rPr>
                      <w:rStyle w:val="50"/>
                      <w:rFonts w:hint="eastAsia" w:ascii="宋体" w:hAnsi="宋体" w:eastAsia="宋体" w:cs="宋体"/>
                      <w:b/>
                      <w:bCs/>
                      <w:color w:val="auto"/>
                      <w:kern w:val="0"/>
                      <w:sz w:val="21"/>
                      <w:szCs w:val="21"/>
                      <w:highlight w:val="none"/>
                    </w:rPr>
                    <w:t>06</w:t>
                  </w:r>
                </w:p>
              </w:tc>
              <w:tc>
                <w:tcPr>
                  <w:tcW w:w="6120" w:type="dxa"/>
                  <w:tcBorders>
                    <w:top w:val="single" w:color="000000" w:sz="4" w:space="0"/>
                    <w:left w:val="nil"/>
                    <w:bottom w:val="single" w:color="000000" w:sz="4" w:space="0"/>
                    <w:right w:val="single" w:color="000000" w:sz="4" w:space="0"/>
                  </w:tcBorders>
                  <w:noWrap w:val="0"/>
                  <w:vAlign w:val="center"/>
                </w:tcPr>
                <w:p w14:paraId="29B23DCF">
                  <w:pPr>
                    <w:keepNext w:val="0"/>
                    <w:keepLines w:val="0"/>
                    <w:pageBreakBefore w:val="0"/>
                    <w:widowControl/>
                    <w:kinsoku/>
                    <w:overflowPunct/>
                    <w:topLinePunct w:val="0"/>
                    <w:bidi w:val="0"/>
                    <w:snapToGrid/>
                    <w:spacing w:line="44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 xml:space="preserve">电脑+打印机+稳定电源 </w:t>
                  </w:r>
                </w:p>
              </w:tc>
              <w:tc>
                <w:tcPr>
                  <w:tcW w:w="1133" w:type="dxa"/>
                  <w:tcBorders>
                    <w:top w:val="nil"/>
                    <w:left w:val="nil"/>
                    <w:bottom w:val="single" w:color="000000" w:sz="4" w:space="0"/>
                    <w:right w:val="single" w:color="000000" w:sz="4" w:space="0"/>
                  </w:tcBorders>
                  <w:noWrap w:val="0"/>
                  <w:vAlign w:val="center"/>
                </w:tcPr>
                <w:p w14:paraId="1412341B">
                  <w:pPr>
                    <w:keepNext w:val="0"/>
                    <w:keepLines w:val="0"/>
                    <w:pageBreakBefore w:val="0"/>
                    <w:widowControl/>
                    <w:kinsoku/>
                    <w:overflowPunct/>
                    <w:topLinePunct w:val="0"/>
                    <w:bidi w:val="0"/>
                    <w:snapToGrid/>
                    <w:spacing w:line="440" w:lineRule="exact"/>
                    <w:jc w:val="center"/>
                    <w:textAlignment w:val="auto"/>
                    <w:rPr>
                      <w:rStyle w:val="50"/>
                      <w:rFonts w:hint="eastAsia" w:ascii="宋体" w:hAnsi="宋体" w:eastAsia="宋体" w:cs="宋体"/>
                      <w:b/>
                      <w:color w:val="auto"/>
                      <w:kern w:val="0"/>
                      <w:sz w:val="21"/>
                      <w:szCs w:val="21"/>
                      <w:highlight w:val="none"/>
                    </w:rPr>
                  </w:pPr>
                  <w:r>
                    <w:rPr>
                      <w:rStyle w:val="50"/>
                      <w:rFonts w:hint="eastAsia" w:ascii="宋体" w:hAnsi="宋体" w:eastAsia="宋体" w:cs="宋体"/>
                      <w:b/>
                      <w:color w:val="auto"/>
                      <w:kern w:val="0"/>
                      <w:sz w:val="21"/>
                      <w:szCs w:val="21"/>
                      <w:highlight w:val="none"/>
                    </w:rPr>
                    <w:t>套</w:t>
                  </w:r>
                </w:p>
              </w:tc>
              <w:tc>
                <w:tcPr>
                  <w:tcW w:w="950" w:type="dxa"/>
                  <w:tcBorders>
                    <w:top w:val="nil"/>
                    <w:left w:val="nil"/>
                    <w:bottom w:val="single" w:color="000000" w:sz="4" w:space="0"/>
                    <w:right w:val="single" w:color="000000" w:sz="4" w:space="0"/>
                  </w:tcBorders>
                  <w:noWrap w:val="0"/>
                  <w:vAlign w:val="center"/>
                </w:tcPr>
                <w:p w14:paraId="19A22780">
                  <w:pPr>
                    <w:keepNext w:val="0"/>
                    <w:keepLines w:val="0"/>
                    <w:pageBreakBefore w:val="0"/>
                    <w:widowControl/>
                    <w:kinsoku/>
                    <w:overflowPunct/>
                    <w:topLinePunct w:val="0"/>
                    <w:bidi w:val="0"/>
                    <w:snapToGrid/>
                    <w:spacing w:line="440" w:lineRule="exact"/>
                    <w:jc w:val="center"/>
                    <w:textAlignment w:val="auto"/>
                    <w:rPr>
                      <w:rStyle w:val="50"/>
                      <w:rFonts w:hint="eastAsia" w:ascii="宋体" w:hAnsi="宋体" w:eastAsia="宋体" w:cs="宋体"/>
                      <w:b/>
                      <w:color w:val="auto"/>
                      <w:kern w:val="0"/>
                      <w:sz w:val="21"/>
                      <w:szCs w:val="21"/>
                      <w:highlight w:val="none"/>
                    </w:rPr>
                  </w:pPr>
                  <w:r>
                    <w:rPr>
                      <w:rStyle w:val="50"/>
                      <w:rFonts w:hint="eastAsia" w:ascii="宋体" w:hAnsi="宋体" w:eastAsia="宋体" w:cs="宋体"/>
                      <w:b/>
                      <w:color w:val="auto"/>
                      <w:kern w:val="0"/>
                      <w:sz w:val="21"/>
                      <w:szCs w:val="21"/>
                      <w:highlight w:val="none"/>
                    </w:rPr>
                    <w:t>1</w:t>
                  </w:r>
                </w:p>
              </w:tc>
            </w:tr>
          </w:tbl>
          <w:p w14:paraId="00185CB7">
            <w:pPr>
              <w:keepNext w:val="0"/>
              <w:keepLines w:val="0"/>
              <w:pageBreakBefore w:val="0"/>
              <w:widowControl/>
              <w:kinsoku/>
              <w:overflowPunct/>
              <w:topLinePunct w:val="0"/>
              <w:bidi w:val="0"/>
              <w:snapToGrid/>
              <w:spacing w:line="440" w:lineRule="exact"/>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技术指标</w:t>
            </w:r>
          </w:p>
          <w:tbl>
            <w:tblPr>
              <w:tblStyle w:val="2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0"/>
              <w:gridCol w:w="4144"/>
            </w:tblGrid>
            <w:tr w14:paraId="78298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43" w:type="dxa"/>
                  <w:gridSpan w:val="2"/>
                  <w:noWrap w:val="0"/>
                  <w:vAlign w:val="top"/>
                </w:tcPr>
                <w:p w14:paraId="6F7A1D58">
                  <w:pPr>
                    <w:keepNext w:val="0"/>
                    <w:keepLines w:val="0"/>
                    <w:pageBreakBefore w:val="0"/>
                    <w:widowControl/>
                    <w:kinsoku/>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b/>
                      <w:bCs/>
                      <w:color w:val="auto"/>
                      <w:kern w:val="0"/>
                      <w:sz w:val="21"/>
                      <w:szCs w:val="21"/>
                      <w:highlight w:val="none"/>
                    </w:rPr>
                    <w:t>高压输液泵</w:t>
                  </w:r>
                </w:p>
              </w:tc>
            </w:tr>
            <w:tr w14:paraId="6B550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noWrap w:val="0"/>
                  <w:vAlign w:val="top"/>
                </w:tcPr>
                <w:p w14:paraId="19DD30D6">
                  <w:pPr>
                    <w:keepNext w:val="0"/>
                    <w:keepLines w:val="0"/>
                    <w:pageBreakBefore w:val="0"/>
                    <w:widowControl/>
                    <w:kinsoku/>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流量范围</w:t>
                  </w:r>
                </w:p>
              </w:tc>
              <w:tc>
                <w:tcPr>
                  <w:tcW w:w="4600" w:type="dxa"/>
                  <w:noWrap w:val="0"/>
                  <w:vAlign w:val="top"/>
                </w:tcPr>
                <w:p w14:paraId="5C20C63D">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0.001-50ml/min(设定步长0.001mL/min)</w:t>
                  </w:r>
                </w:p>
              </w:tc>
            </w:tr>
            <w:tr w14:paraId="58039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noWrap w:val="0"/>
                  <w:vAlign w:val="top"/>
                </w:tcPr>
                <w:p w14:paraId="1482DCB9">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流量准确度</w:t>
                  </w:r>
                </w:p>
              </w:tc>
              <w:tc>
                <w:tcPr>
                  <w:tcW w:w="4600" w:type="dxa"/>
                  <w:noWrap w:val="0"/>
                  <w:vAlign w:val="top"/>
                </w:tcPr>
                <w:p w14:paraId="4176A354">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≤±0.50%</w:t>
                  </w:r>
                  <w:r>
                    <w:rPr>
                      <w:rFonts w:hint="eastAsia" w:ascii="宋体" w:hAnsi="宋体" w:eastAsia="宋体" w:cs="宋体"/>
                      <w:color w:val="auto"/>
                      <w:kern w:val="0"/>
                      <w:sz w:val="21"/>
                      <w:szCs w:val="21"/>
                      <w:highlight w:val="none"/>
                    </w:rPr>
                    <w:t>（0.001－10mL/min）</w:t>
                  </w:r>
                </w:p>
              </w:tc>
            </w:tr>
            <w:tr w14:paraId="78A50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noWrap w:val="0"/>
                  <w:vAlign w:val="top"/>
                </w:tcPr>
                <w:p w14:paraId="52202D1A">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最高工作压力</w:t>
                  </w:r>
                </w:p>
              </w:tc>
              <w:tc>
                <w:tcPr>
                  <w:tcW w:w="4600" w:type="dxa"/>
                  <w:noWrap w:val="0"/>
                  <w:vAlign w:val="top"/>
                </w:tcPr>
                <w:p w14:paraId="5501D91F">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shd w:val="clear" w:color="auto" w:fill="FFFFFF"/>
                    </w:rPr>
                    <w:t xml:space="preserve">25.0MPa </w:t>
                  </w:r>
                  <w:r>
                    <w:rPr>
                      <w:rStyle w:val="71"/>
                      <w:rFonts w:hint="eastAsia" w:ascii="宋体" w:hAnsi="宋体" w:eastAsia="宋体" w:cs="宋体"/>
                      <w:color w:val="auto"/>
                      <w:sz w:val="21"/>
                      <w:szCs w:val="21"/>
                      <w:highlight w:val="none"/>
                      <w:shd w:val="clear" w:color="auto" w:fill="FFFFFF"/>
                    </w:rPr>
                    <w:t>可设上下限，自动报警</w:t>
                  </w:r>
                </w:p>
              </w:tc>
            </w:tr>
            <w:tr w14:paraId="79C00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noWrap w:val="0"/>
                  <w:vAlign w:val="top"/>
                </w:tcPr>
                <w:p w14:paraId="0180A3EF">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显示压力误差</w:t>
                  </w:r>
                </w:p>
              </w:tc>
              <w:tc>
                <w:tcPr>
                  <w:tcW w:w="4600" w:type="dxa"/>
                  <w:noWrap w:val="0"/>
                  <w:vAlign w:val="top"/>
                </w:tcPr>
                <w:p w14:paraId="7720DEE8">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sz w:val="21"/>
                      <w:szCs w:val="21"/>
                      <w:highlight w:val="none"/>
                      <w:shd w:val="clear" w:color="auto" w:fill="FFFFFF"/>
                    </w:rPr>
                  </w:pPr>
                  <w:r>
                    <w:rPr>
                      <w:rFonts w:hint="eastAsia" w:ascii="宋体" w:hAnsi="宋体" w:eastAsia="宋体" w:cs="宋体"/>
                      <w:color w:val="auto"/>
                      <w:sz w:val="21"/>
                      <w:szCs w:val="21"/>
                      <w:highlight w:val="none"/>
                    </w:rPr>
                    <w:t>＜±0.5 MPa(0～5MPa)</w:t>
                  </w:r>
                </w:p>
              </w:tc>
            </w:tr>
            <w:tr w14:paraId="1491F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noWrap w:val="0"/>
                  <w:vAlign w:val="top"/>
                </w:tcPr>
                <w:p w14:paraId="4324DEDD">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压力脉动</w:t>
                  </w:r>
                </w:p>
              </w:tc>
              <w:tc>
                <w:tcPr>
                  <w:tcW w:w="4600" w:type="dxa"/>
                  <w:noWrap w:val="0"/>
                  <w:vAlign w:val="top"/>
                </w:tcPr>
                <w:p w14:paraId="1D379314">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＜0.1MPa</w:t>
                  </w:r>
                </w:p>
              </w:tc>
            </w:tr>
            <w:tr w14:paraId="35665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noWrap w:val="0"/>
                  <w:vAlign w:val="top"/>
                </w:tcPr>
                <w:p w14:paraId="378D6710">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泵的密封性</w:t>
                  </w:r>
                </w:p>
              </w:tc>
              <w:tc>
                <w:tcPr>
                  <w:tcW w:w="4600" w:type="dxa"/>
                  <w:noWrap w:val="0"/>
                  <w:vAlign w:val="top"/>
                </w:tcPr>
                <w:p w14:paraId="7ABA0DA2">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压力为25MPa, 时间为10min, 压力降＜0.5MPa</w:t>
                  </w:r>
                </w:p>
              </w:tc>
            </w:tr>
            <w:tr w14:paraId="27556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noWrap w:val="0"/>
                  <w:vAlign w:val="top"/>
                </w:tcPr>
                <w:p w14:paraId="4DBEAD8E">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bidi="ar"/>
                    </w:rPr>
                    <w:t>流量稳定性</w:t>
                  </w:r>
                </w:p>
              </w:tc>
              <w:tc>
                <w:tcPr>
                  <w:tcW w:w="4600" w:type="dxa"/>
                  <w:noWrap w:val="0"/>
                  <w:vAlign w:val="top"/>
                </w:tcPr>
                <w:p w14:paraId="12E5A5D7">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RSD&lt;0.25%</w:t>
                  </w:r>
                </w:p>
              </w:tc>
            </w:tr>
            <w:tr w14:paraId="0CA55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noWrap w:val="0"/>
                  <w:vAlign w:val="top"/>
                </w:tcPr>
                <w:p w14:paraId="3A60FA0E">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梯度</w:t>
                  </w:r>
                </w:p>
              </w:tc>
              <w:tc>
                <w:tcPr>
                  <w:tcW w:w="4600" w:type="dxa"/>
                  <w:noWrap w:val="0"/>
                  <w:vAlign w:val="top"/>
                </w:tcPr>
                <w:p w14:paraId="4826AFFD">
                  <w:pPr>
                    <w:keepNext w:val="0"/>
                    <w:keepLines w:val="0"/>
                    <w:pageBreakBefore w:val="0"/>
                    <w:widowControl/>
                    <w:kinsoku/>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 元或3元</w:t>
                  </w:r>
                </w:p>
              </w:tc>
            </w:tr>
            <w:tr w14:paraId="0E1FC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noWrap w:val="0"/>
                  <w:vAlign w:val="top"/>
                </w:tcPr>
                <w:p w14:paraId="2C6CBAD1">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梯度方式</w:t>
                  </w:r>
                </w:p>
              </w:tc>
              <w:tc>
                <w:tcPr>
                  <w:tcW w:w="4600" w:type="dxa"/>
                  <w:noWrap w:val="0"/>
                  <w:vAlign w:val="top"/>
                </w:tcPr>
                <w:p w14:paraId="7722EA1E">
                  <w:pPr>
                    <w:keepNext w:val="0"/>
                    <w:keepLines w:val="0"/>
                    <w:pageBreakBefore w:val="0"/>
                    <w:widowControl/>
                    <w:kinsoku/>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梯度洗脱内部软件可自控制，可通过PC机及泵控制</w:t>
                  </w:r>
                </w:p>
              </w:tc>
            </w:tr>
            <w:tr w14:paraId="15639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noWrap w:val="0"/>
                  <w:vAlign w:val="top"/>
                </w:tcPr>
                <w:p w14:paraId="5591A1C0">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电源</w:t>
                  </w:r>
                </w:p>
              </w:tc>
              <w:tc>
                <w:tcPr>
                  <w:tcW w:w="4600" w:type="dxa"/>
                  <w:noWrap w:val="0"/>
                  <w:vAlign w:val="top"/>
                </w:tcPr>
                <w:p w14:paraId="22A8F349">
                  <w:pPr>
                    <w:keepNext w:val="0"/>
                    <w:keepLines w:val="0"/>
                    <w:pageBreakBefore w:val="0"/>
                    <w:widowControl/>
                    <w:kinsoku/>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AC 110V/220V，50Hz/60Hz</w:t>
                  </w:r>
                </w:p>
              </w:tc>
            </w:tr>
            <w:tr w14:paraId="6F17E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43" w:type="dxa"/>
                  <w:gridSpan w:val="2"/>
                  <w:noWrap w:val="0"/>
                  <w:vAlign w:val="top"/>
                </w:tcPr>
                <w:p w14:paraId="5C7E1AC5">
                  <w:pPr>
                    <w:keepNext w:val="0"/>
                    <w:keepLines w:val="0"/>
                    <w:pageBreakBefore w:val="0"/>
                    <w:widowControl/>
                    <w:kinsoku/>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b/>
                      <w:bCs/>
                      <w:color w:val="auto"/>
                      <w:kern w:val="0"/>
                      <w:sz w:val="21"/>
                      <w:szCs w:val="21"/>
                      <w:highlight w:val="none"/>
                    </w:rPr>
                    <w:t>UV检测器</w:t>
                  </w:r>
                </w:p>
              </w:tc>
            </w:tr>
            <w:tr w14:paraId="0F0C9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noWrap w:val="0"/>
                  <w:vAlign w:val="top"/>
                </w:tcPr>
                <w:p w14:paraId="19BBA689">
                  <w:pPr>
                    <w:keepNext w:val="0"/>
                    <w:keepLines w:val="0"/>
                    <w:pageBreakBefore w:val="0"/>
                    <w:widowControl/>
                    <w:kinsoku/>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灯源</w:t>
                  </w:r>
                </w:p>
              </w:tc>
              <w:tc>
                <w:tcPr>
                  <w:tcW w:w="4600" w:type="dxa"/>
                  <w:noWrap w:val="0"/>
                  <w:vAlign w:val="top"/>
                </w:tcPr>
                <w:p w14:paraId="5E32E28B">
                  <w:pPr>
                    <w:keepNext w:val="0"/>
                    <w:keepLines w:val="0"/>
                    <w:pageBreakBefore w:val="0"/>
                    <w:widowControl/>
                    <w:kinsoku/>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氘灯/钨灯</w:t>
                  </w:r>
                </w:p>
              </w:tc>
            </w:tr>
            <w:tr w14:paraId="65A68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noWrap w:val="0"/>
                  <w:vAlign w:val="top"/>
                </w:tcPr>
                <w:p w14:paraId="1C0A577A">
                  <w:pPr>
                    <w:keepNext w:val="0"/>
                    <w:keepLines w:val="0"/>
                    <w:pageBreakBefore w:val="0"/>
                    <w:widowControl/>
                    <w:kinsoku/>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光路设计</w:t>
                  </w:r>
                </w:p>
              </w:tc>
              <w:tc>
                <w:tcPr>
                  <w:tcW w:w="4600" w:type="dxa"/>
                  <w:noWrap w:val="0"/>
                  <w:vAlign w:val="top"/>
                </w:tcPr>
                <w:p w14:paraId="447875A2">
                  <w:pPr>
                    <w:keepNext w:val="0"/>
                    <w:keepLines w:val="0"/>
                    <w:pageBreakBefore w:val="0"/>
                    <w:widowControl/>
                    <w:kinsoku/>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带有双路硅光二极管检测器的单色仪</w:t>
                  </w:r>
                </w:p>
              </w:tc>
            </w:tr>
            <w:tr w14:paraId="6E6D0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noWrap w:val="0"/>
                  <w:vAlign w:val="top"/>
                </w:tcPr>
                <w:p w14:paraId="5D5713C4">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线性范围</w:t>
                  </w:r>
                </w:p>
              </w:tc>
              <w:tc>
                <w:tcPr>
                  <w:tcW w:w="4600" w:type="dxa"/>
                  <w:noWrap w:val="0"/>
                  <w:vAlign w:val="top"/>
                </w:tcPr>
                <w:p w14:paraId="120D278E">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lang w:val="de-DE"/>
                    </w:rPr>
                  </w:pPr>
                  <w:r>
                    <w:rPr>
                      <w:rFonts w:hint="eastAsia" w:ascii="宋体" w:hAnsi="宋体" w:eastAsia="宋体" w:cs="宋体"/>
                      <w:color w:val="auto"/>
                      <w:kern w:val="0"/>
                      <w:sz w:val="21"/>
                      <w:szCs w:val="21"/>
                      <w:highlight w:val="none"/>
                    </w:rPr>
                    <w:t>2.8AU(5%)</w:t>
                  </w:r>
                </w:p>
              </w:tc>
            </w:tr>
            <w:tr w14:paraId="55CAB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noWrap w:val="0"/>
                  <w:vAlign w:val="top"/>
                </w:tcPr>
                <w:p w14:paraId="3DD44693">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波长范围</w:t>
                  </w:r>
                </w:p>
              </w:tc>
              <w:tc>
                <w:tcPr>
                  <w:tcW w:w="4600" w:type="dxa"/>
                  <w:noWrap w:val="0"/>
                  <w:vAlign w:val="top"/>
                </w:tcPr>
                <w:p w14:paraId="1D936B22">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190-700nm 步增1nm</w:t>
                  </w:r>
                </w:p>
              </w:tc>
            </w:tr>
            <w:tr w14:paraId="36871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noWrap w:val="0"/>
                  <w:vAlign w:val="top"/>
                </w:tcPr>
                <w:p w14:paraId="6919BD36">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波长重复性</w:t>
                  </w:r>
                </w:p>
              </w:tc>
              <w:tc>
                <w:tcPr>
                  <w:tcW w:w="4600" w:type="dxa"/>
                  <w:noWrap w:val="0"/>
                  <w:vAlign w:val="top"/>
                </w:tcPr>
                <w:p w14:paraId="7139D0BB">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0.2nm</w:t>
                  </w:r>
                </w:p>
              </w:tc>
            </w:tr>
            <w:tr w14:paraId="1817D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noWrap w:val="0"/>
                  <w:vAlign w:val="top"/>
                </w:tcPr>
                <w:p w14:paraId="6BE4B168">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bidi="ar"/>
                    </w:rPr>
                    <w:t>波长精确度</w:t>
                  </w:r>
                </w:p>
              </w:tc>
              <w:tc>
                <w:tcPr>
                  <w:tcW w:w="4600" w:type="dxa"/>
                  <w:noWrap w:val="0"/>
                  <w:vAlign w:val="top"/>
                </w:tcPr>
                <w:p w14:paraId="1DD8471C">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±1nm</w:t>
                  </w:r>
                </w:p>
              </w:tc>
            </w:tr>
            <w:tr w14:paraId="5F7FD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noWrap w:val="0"/>
                  <w:vAlign w:val="top"/>
                </w:tcPr>
                <w:p w14:paraId="245CC599">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shd w:val="clear" w:color="auto" w:fill="FFFFFF"/>
                    </w:rPr>
                    <w:t>谱带宽度</w:t>
                  </w:r>
                </w:p>
              </w:tc>
              <w:tc>
                <w:tcPr>
                  <w:tcW w:w="4600" w:type="dxa"/>
                  <w:noWrap w:val="0"/>
                  <w:vAlign w:val="top"/>
                </w:tcPr>
                <w:p w14:paraId="06EBBEAB">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&lt;6nm</w:t>
                  </w:r>
                </w:p>
              </w:tc>
            </w:tr>
            <w:tr w14:paraId="37B95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noWrap w:val="0"/>
                  <w:vAlign w:val="top"/>
                </w:tcPr>
                <w:p w14:paraId="466444DC">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吸收量程</w:t>
                  </w:r>
                </w:p>
              </w:tc>
              <w:tc>
                <w:tcPr>
                  <w:tcW w:w="4600" w:type="dxa"/>
                  <w:noWrap w:val="0"/>
                  <w:vAlign w:val="top"/>
                </w:tcPr>
                <w:p w14:paraId="1F771A3A">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de-DE"/>
                    </w:rPr>
                    <w:t>0.0005AU/mV-4AU/mV</w:t>
                  </w:r>
                </w:p>
              </w:tc>
            </w:tr>
            <w:tr w14:paraId="1085C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noWrap w:val="0"/>
                  <w:vAlign w:val="top"/>
                </w:tcPr>
                <w:p w14:paraId="67CDD784">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数据系统输出</w:t>
                  </w:r>
                </w:p>
              </w:tc>
              <w:tc>
                <w:tcPr>
                  <w:tcW w:w="4600" w:type="dxa"/>
                  <w:noWrap w:val="0"/>
                  <w:vAlign w:val="top"/>
                </w:tcPr>
                <w:p w14:paraId="7DDE9E73">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de-DE"/>
                    </w:rPr>
                    <w:t>4AU/V 进样信号控制，自动调零，支持积分仪与记录仪双路输出</w:t>
                  </w:r>
                </w:p>
              </w:tc>
            </w:tr>
            <w:tr w14:paraId="62EE5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vMerge w:val="restart"/>
                  <w:noWrap w:val="0"/>
                  <w:vAlign w:val="top"/>
                </w:tcPr>
                <w:p w14:paraId="3E1D0A05">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基线噪声</w:t>
                  </w:r>
                </w:p>
              </w:tc>
              <w:tc>
                <w:tcPr>
                  <w:tcW w:w="4600" w:type="dxa"/>
                  <w:noWrap w:val="0"/>
                  <w:vAlign w:val="top"/>
                </w:tcPr>
                <w:p w14:paraId="2DB16765">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≤±0.25×10</w:t>
                  </w:r>
                  <w:r>
                    <w:rPr>
                      <w:rFonts w:hint="eastAsia" w:ascii="宋体" w:hAnsi="宋体" w:eastAsia="宋体" w:cs="宋体"/>
                      <w:color w:val="auto"/>
                      <w:sz w:val="21"/>
                      <w:szCs w:val="21"/>
                      <w:highlight w:val="none"/>
                      <w:vertAlign w:val="superscript"/>
                    </w:rPr>
                    <w:t>-5</w:t>
                  </w:r>
                  <w:r>
                    <w:rPr>
                      <w:rFonts w:hint="eastAsia" w:ascii="宋体" w:hAnsi="宋体" w:eastAsia="宋体" w:cs="宋体"/>
                      <w:color w:val="auto"/>
                      <w:sz w:val="21"/>
                      <w:szCs w:val="21"/>
                      <w:highlight w:val="none"/>
                    </w:rPr>
                    <w:t>AU（空池，响应时间1秒，20℃）</w:t>
                  </w:r>
                </w:p>
              </w:tc>
            </w:tr>
            <w:tr w14:paraId="013B6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vMerge w:val="continue"/>
                  <w:noWrap w:val="0"/>
                  <w:vAlign w:val="top"/>
                </w:tcPr>
                <w:p w14:paraId="07A17BD6">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rPr>
                  </w:pPr>
                </w:p>
              </w:tc>
              <w:tc>
                <w:tcPr>
                  <w:tcW w:w="4600" w:type="dxa"/>
                  <w:noWrap w:val="0"/>
                  <w:vAlign w:val="top"/>
                </w:tcPr>
                <w:p w14:paraId="3BCA3DCB">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≤2×10</w:t>
                  </w:r>
                  <w:r>
                    <w:rPr>
                      <w:rFonts w:hint="eastAsia" w:ascii="宋体" w:hAnsi="宋体" w:eastAsia="宋体" w:cs="宋体"/>
                      <w:color w:val="auto"/>
                      <w:sz w:val="21"/>
                      <w:szCs w:val="21"/>
                      <w:highlight w:val="none"/>
                      <w:vertAlign w:val="superscript"/>
                    </w:rPr>
                    <w:t>-5</w:t>
                  </w:r>
                  <w:r>
                    <w:rPr>
                      <w:rFonts w:hint="eastAsia" w:ascii="宋体" w:hAnsi="宋体" w:eastAsia="宋体" w:cs="宋体"/>
                      <w:color w:val="auto"/>
                      <w:sz w:val="21"/>
                      <w:szCs w:val="21"/>
                      <w:highlight w:val="none"/>
                    </w:rPr>
                    <w:t>AU （甲醇，1ml/min，254nm，20℃）</w:t>
                  </w:r>
                </w:p>
              </w:tc>
            </w:tr>
            <w:tr w14:paraId="56CED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vMerge w:val="restart"/>
                  <w:noWrap w:val="0"/>
                  <w:vAlign w:val="top"/>
                </w:tcPr>
                <w:p w14:paraId="2DE9E2B7">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基线漂移</w:t>
                  </w:r>
                </w:p>
              </w:tc>
              <w:tc>
                <w:tcPr>
                  <w:tcW w:w="4600" w:type="dxa"/>
                  <w:noWrap w:val="0"/>
                  <w:vAlign w:val="top"/>
                </w:tcPr>
                <w:p w14:paraId="1459B4A9">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≤0.4×10</w:t>
                  </w:r>
                  <w:r>
                    <w:rPr>
                      <w:rFonts w:hint="eastAsia" w:ascii="宋体" w:hAnsi="宋体" w:eastAsia="宋体" w:cs="宋体"/>
                      <w:color w:val="auto"/>
                      <w:sz w:val="21"/>
                      <w:szCs w:val="21"/>
                      <w:highlight w:val="none"/>
                      <w:vertAlign w:val="superscript"/>
                    </w:rPr>
                    <w:t>-4</w:t>
                  </w:r>
                  <w:r>
                    <w:rPr>
                      <w:rFonts w:hint="eastAsia" w:ascii="宋体" w:hAnsi="宋体" w:eastAsia="宋体" w:cs="宋体"/>
                      <w:color w:val="auto"/>
                      <w:sz w:val="21"/>
                      <w:szCs w:val="21"/>
                      <w:highlight w:val="none"/>
                    </w:rPr>
                    <w:t>AU/hr（空池，响应时间1秒，20℃）</w:t>
                  </w:r>
                </w:p>
              </w:tc>
            </w:tr>
            <w:tr w14:paraId="090F8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vMerge w:val="continue"/>
                  <w:noWrap w:val="0"/>
                  <w:vAlign w:val="top"/>
                </w:tcPr>
                <w:p w14:paraId="565F8017">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rPr>
                  </w:pPr>
                </w:p>
              </w:tc>
              <w:tc>
                <w:tcPr>
                  <w:tcW w:w="4600" w:type="dxa"/>
                  <w:noWrap w:val="0"/>
                  <w:vAlign w:val="top"/>
                </w:tcPr>
                <w:p w14:paraId="629F3514">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≤2×10</w:t>
                  </w:r>
                  <w:r>
                    <w:rPr>
                      <w:rFonts w:hint="eastAsia" w:ascii="宋体" w:hAnsi="宋体" w:eastAsia="宋体" w:cs="宋体"/>
                      <w:color w:val="auto"/>
                      <w:sz w:val="21"/>
                      <w:szCs w:val="21"/>
                      <w:highlight w:val="none"/>
                      <w:vertAlign w:val="superscript"/>
                    </w:rPr>
                    <w:t>-4</w:t>
                  </w:r>
                  <w:r>
                    <w:rPr>
                      <w:rFonts w:hint="eastAsia" w:ascii="宋体" w:hAnsi="宋体" w:eastAsia="宋体" w:cs="宋体"/>
                      <w:color w:val="auto"/>
                      <w:sz w:val="21"/>
                      <w:szCs w:val="21"/>
                      <w:highlight w:val="none"/>
                    </w:rPr>
                    <w:t>/hr （甲醇，1ml/min, 254nm，20℃）</w:t>
                  </w:r>
                </w:p>
              </w:tc>
            </w:tr>
            <w:tr w14:paraId="70872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noWrap w:val="0"/>
                  <w:vAlign w:val="top"/>
                </w:tcPr>
                <w:p w14:paraId="7143755B">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最小检测浓度</w:t>
                  </w:r>
                </w:p>
              </w:tc>
              <w:tc>
                <w:tcPr>
                  <w:tcW w:w="4600" w:type="dxa"/>
                  <w:noWrap w:val="0"/>
                  <w:vAlign w:val="top"/>
                </w:tcPr>
                <w:p w14:paraId="2161FEFE">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4×10-9 g/mL (萘的甲醇溶液)</w:t>
                  </w:r>
                </w:p>
              </w:tc>
            </w:tr>
            <w:tr w14:paraId="70198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noWrap w:val="0"/>
                  <w:vAlign w:val="top"/>
                </w:tcPr>
                <w:p w14:paraId="34007869">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样品池</w:t>
                  </w:r>
                </w:p>
              </w:tc>
              <w:tc>
                <w:tcPr>
                  <w:tcW w:w="4600" w:type="dxa"/>
                  <w:noWrap w:val="0"/>
                  <w:vAlign w:val="top"/>
                </w:tcPr>
                <w:p w14:paraId="3CDFD857">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lang w:val="de-DE"/>
                    </w:rPr>
                  </w:pPr>
                  <w:r>
                    <w:rPr>
                      <w:rFonts w:hint="eastAsia" w:ascii="宋体" w:hAnsi="宋体" w:eastAsia="宋体" w:cs="宋体"/>
                      <w:color w:val="auto"/>
                      <w:kern w:val="0"/>
                      <w:sz w:val="21"/>
                      <w:szCs w:val="21"/>
                      <w:highlight w:val="none"/>
                      <w:lang w:val="de-DE"/>
                    </w:rPr>
                    <w:t>分析池（10mm光程，10.0ul体积）</w:t>
                  </w:r>
                </w:p>
              </w:tc>
            </w:tr>
            <w:tr w14:paraId="5566B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3" w:type="dxa"/>
                  <w:noWrap w:val="0"/>
                  <w:vAlign w:val="top"/>
                </w:tcPr>
                <w:p w14:paraId="15C3F165">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电源</w:t>
                  </w:r>
                </w:p>
              </w:tc>
              <w:tc>
                <w:tcPr>
                  <w:tcW w:w="4600" w:type="dxa"/>
                  <w:noWrap w:val="0"/>
                  <w:vAlign w:val="top"/>
                </w:tcPr>
                <w:p w14:paraId="533A59DA">
                  <w:pPr>
                    <w:keepNext w:val="0"/>
                    <w:keepLines w:val="0"/>
                    <w:pageBreakBefore w:val="0"/>
                    <w:widowControl/>
                    <w:kinsoku/>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AC 110V/220V，50Hz/60Hz</w:t>
                  </w:r>
                </w:p>
              </w:tc>
            </w:tr>
          </w:tbl>
          <w:p w14:paraId="657C9933">
            <w:pPr>
              <w:keepNext w:val="0"/>
              <w:keepLines w:val="0"/>
              <w:pageBreakBefore w:val="0"/>
              <w:tabs>
                <w:tab w:val="left" w:pos="180"/>
              </w:tabs>
              <w:kinsoku/>
              <w:overflowPunct/>
              <w:topLinePunct w:val="0"/>
              <w:bidi w:val="0"/>
              <w:snapToGrid/>
              <w:spacing w:line="440" w:lineRule="exact"/>
              <w:textAlignment w:val="auto"/>
              <w:rPr>
                <w:rFonts w:hint="eastAsia" w:ascii="宋体" w:hAnsi="宋体" w:eastAsia="宋体" w:cs="宋体"/>
                <w:color w:val="auto"/>
                <w:sz w:val="21"/>
                <w:szCs w:val="21"/>
                <w:highlight w:val="none"/>
              </w:rPr>
            </w:pPr>
          </w:p>
        </w:tc>
        <w:tc>
          <w:tcPr>
            <w:tcW w:w="594" w:type="dxa"/>
            <w:noWrap w:val="0"/>
            <w:vAlign w:val="center"/>
          </w:tcPr>
          <w:p w14:paraId="6E9DB60D">
            <w:pPr>
              <w:keepNext w:val="0"/>
              <w:keepLines w:val="0"/>
              <w:pageBreakBefore w:val="0"/>
              <w:kinsoku/>
              <w:overflowPunct/>
              <w:topLinePunct w:val="0"/>
              <w:bidi w:val="0"/>
              <w:snapToGrid/>
              <w:spacing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台</w:t>
            </w:r>
          </w:p>
        </w:tc>
        <w:tc>
          <w:tcPr>
            <w:tcW w:w="491" w:type="dxa"/>
            <w:noWrap w:val="0"/>
            <w:vAlign w:val="center"/>
          </w:tcPr>
          <w:p w14:paraId="2DA1700F">
            <w:pPr>
              <w:keepNext w:val="0"/>
              <w:keepLines w:val="0"/>
              <w:pageBreakBefore w:val="0"/>
              <w:kinsoku/>
              <w:overflowPunct/>
              <w:topLinePunct w:val="0"/>
              <w:bidi w:val="0"/>
              <w:snapToGrid/>
              <w:spacing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w:t>
            </w:r>
          </w:p>
        </w:tc>
      </w:tr>
      <w:tr w14:paraId="1B66F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40EF18D0">
            <w:pPr>
              <w:keepNext w:val="0"/>
              <w:keepLines w:val="0"/>
              <w:pageBreakBefore w:val="0"/>
              <w:kinsoku/>
              <w:overflowPunct/>
              <w:topLinePunct w:val="0"/>
              <w:bidi w:val="0"/>
              <w:snapToGrid/>
              <w:spacing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5</w:t>
            </w:r>
          </w:p>
        </w:tc>
        <w:tc>
          <w:tcPr>
            <w:tcW w:w="1483" w:type="dxa"/>
            <w:noWrap w:val="0"/>
            <w:vAlign w:val="center"/>
          </w:tcPr>
          <w:p w14:paraId="2BFACDFC">
            <w:pPr>
              <w:keepNext w:val="0"/>
              <w:keepLines w:val="0"/>
              <w:pageBreakBefore w:val="0"/>
              <w:widowControl/>
              <w:kinsoku/>
              <w:wordWrap w:val="0"/>
              <w:overflowPunct/>
              <w:topLinePunct w:val="0"/>
              <w:bidi w:val="0"/>
              <w:snapToGrid/>
              <w:spacing w:line="440" w:lineRule="exact"/>
              <w:jc w:val="center"/>
              <w:textAlignment w:val="auto"/>
              <w:rPr>
                <w:rFonts w:hint="eastAsia" w:ascii="宋体" w:hAnsi="宋体" w:eastAsia="宋体" w:cs="宋体"/>
                <w:color w:val="auto"/>
                <w:kern w:val="0"/>
                <w:sz w:val="21"/>
                <w:szCs w:val="21"/>
                <w:highlight w:val="none"/>
                <w:lang w:val="de-DE"/>
              </w:rPr>
            </w:pPr>
            <w:r>
              <w:rPr>
                <w:rFonts w:hint="eastAsia" w:ascii="宋体" w:hAnsi="宋体" w:eastAsia="宋体" w:cs="宋体"/>
                <w:color w:val="auto"/>
                <w:kern w:val="0"/>
                <w:sz w:val="21"/>
                <w:szCs w:val="21"/>
                <w:highlight w:val="none"/>
                <w:lang w:val="de-DE"/>
              </w:rPr>
              <w:t>傅里叶变换红外光谱仪</w:t>
            </w:r>
          </w:p>
        </w:tc>
        <w:tc>
          <w:tcPr>
            <w:tcW w:w="5339" w:type="dxa"/>
            <w:noWrap/>
            <w:vAlign w:val="center"/>
          </w:tcPr>
          <w:p w14:paraId="4B08CD2F">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lang w:val="de-DE"/>
              </w:rPr>
            </w:pPr>
            <w:r>
              <w:rPr>
                <w:rFonts w:hint="eastAsia" w:ascii="宋体" w:hAnsi="宋体" w:eastAsia="宋体" w:cs="宋体"/>
                <w:color w:val="auto"/>
                <w:kern w:val="0"/>
                <w:sz w:val="21"/>
                <w:szCs w:val="21"/>
                <w:highlight w:val="none"/>
                <w:lang w:val="de-DE"/>
              </w:rPr>
              <w:t>1.光谱范围：</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lang w:val="de-DE"/>
              </w:rPr>
              <w:t>7800-350cm-1；</w:t>
            </w:r>
          </w:p>
          <w:p w14:paraId="14C7F9A0">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lang w:val="de-DE"/>
              </w:rPr>
            </w:pPr>
            <w:r>
              <w:rPr>
                <w:rFonts w:hint="eastAsia" w:ascii="宋体" w:hAnsi="宋体" w:eastAsia="宋体" w:cs="宋体"/>
                <w:color w:val="auto"/>
                <w:kern w:val="0"/>
                <w:sz w:val="21"/>
                <w:szCs w:val="21"/>
                <w:highlight w:val="none"/>
                <w:lang w:val="de-DE"/>
              </w:rPr>
              <w:t>2.分辨率：</w:t>
            </w:r>
            <w:r>
              <w:rPr>
                <w:rFonts w:hint="eastAsia" w:ascii="宋体" w:hAnsi="宋体" w:eastAsia="宋体" w:cs="宋体"/>
                <w:color w:val="auto"/>
                <w:kern w:val="0"/>
                <w:sz w:val="21"/>
                <w:szCs w:val="21"/>
                <w:highlight w:val="none"/>
                <w:lang w:val="en-US" w:eastAsia="zh-CN"/>
              </w:rPr>
              <w:t>≥1.0</w:t>
            </w:r>
            <w:r>
              <w:rPr>
                <w:rFonts w:hint="eastAsia" w:ascii="宋体" w:hAnsi="宋体" w:eastAsia="宋体" w:cs="宋体"/>
                <w:color w:val="auto"/>
                <w:kern w:val="0"/>
                <w:sz w:val="21"/>
                <w:szCs w:val="21"/>
                <w:highlight w:val="none"/>
                <w:lang w:val="de-DE"/>
              </w:rPr>
              <w:t>cm-1</w:t>
            </w:r>
          </w:p>
          <w:p w14:paraId="176B839E">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lang w:val="de-DE" w:eastAsia="zh-CN"/>
              </w:rPr>
            </w:pPr>
            <w:r>
              <w:rPr>
                <w:rFonts w:hint="eastAsia" w:ascii="宋体" w:hAnsi="宋体" w:eastAsia="宋体" w:cs="宋体"/>
                <w:color w:val="auto"/>
                <w:kern w:val="0"/>
                <w:sz w:val="21"/>
                <w:szCs w:val="21"/>
                <w:highlight w:val="none"/>
                <w:lang w:val="de-DE"/>
              </w:rPr>
              <w:t>3.检测器：进口温度稳定型高灵敏度探测器</w:t>
            </w:r>
            <w:r>
              <w:rPr>
                <w:rFonts w:hint="eastAsia" w:ascii="宋体" w:hAnsi="宋体" w:eastAsia="宋体" w:cs="宋体"/>
                <w:color w:val="auto"/>
                <w:kern w:val="0"/>
                <w:sz w:val="21"/>
                <w:szCs w:val="21"/>
                <w:highlight w:val="none"/>
                <w:lang w:val="de-DE" w:eastAsia="zh-CN"/>
              </w:rPr>
              <w:t>；</w:t>
            </w:r>
          </w:p>
          <w:p w14:paraId="3CD525BF">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lang w:val="de-DE"/>
              </w:rPr>
            </w:pPr>
            <w:r>
              <w:rPr>
                <w:rFonts w:hint="eastAsia" w:ascii="宋体" w:hAnsi="宋体" w:eastAsia="宋体" w:cs="宋体"/>
                <w:color w:val="auto"/>
                <w:kern w:val="0"/>
                <w:sz w:val="21"/>
                <w:szCs w:val="21"/>
                <w:highlight w:val="none"/>
                <w:lang w:val="de-DE"/>
              </w:rPr>
              <w:t>4.分束器：锗蒸镀溴化钾；</w:t>
            </w:r>
          </w:p>
          <w:p w14:paraId="04F6AEBA">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lang w:val="de-DE"/>
              </w:rPr>
            </w:pPr>
            <w:r>
              <w:rPr>
                <w:rFonts w:hint="eastAsia" w:ascii="宋体" w:hAnsi="宋体" w:eastAsia="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lang w:val="de-DE"/>
              </w:rPr>
              <w:t>信噪比：</w:t>
            </w:r>
            <w:r>
              <w:rPr>
                <w:rFonts w:hint="eastAsia" w:ascii="宋体" w:hAnsi="宋体" w:eastAsia="宋体" w:cs="宋体"/>
                <w:color w:val="auto"/>
                <w:kern w:val="0"/>
                <w:sz w:val="21"/>
                <w:szCs w:val="21"/>
                <w:highlight w:val="none"/>
                <w:lang w:val="en-US" w:eastAsia="zh-CN"/>
              </w:rPr>
              <w:t>≥30</w:t>
            </w:r>
            <w:r>
              <w:rPr>
                <w:rFonts w:hint="eastAsia" w:ascii="宋体" w:hAnsi="宋体" w:eastAsia="宋体" w:cs="宋体"/>
                <w:color w:val="auto"/>
                <w:kern w:val="0"/>
                <w:sz w:val="21"/>
                <w:szCs w:val="21"/>
                <w:highlight w:val="none"/>
                <w:lang w:val="de-DE"/>
              </w:rPr>
              <w:t xml:space="preserve">000：1 </w:t>
            </w:r>
            <w:r>
              <w:rPr>
                <w:rFonts w:hint="eastAsia" w:ascii="宋体" w:hAnsi="宋体" w:eastAsia="宋体" w:cs="宋体"/>
                <w:color w:val="auto"/>
                <w:kern w:val="0"/>
                <w:sz w:val="21"/>
                <w:szCs w:val="21"/>
                <w:highlight w:val="none"/>
                <w:lang w:val="de-DE" w:eastAsia="zh-CN"/>
              </w:rPr>
              <w:t>（</w:t>
            </w:r>
            <w:r>
              <w:rPr>
                <w:rFonts w:hint="eastAsia" w:ascii="宋体" w:hAnsi="宋体" w:eastAsia="宋体" w:cs="宋体"/>
                <w:color w:val="auto"/>
                <w:kern w:val="0"/>
                <w:sz w:val="21"/>
                <w:szCs w:val="21"/>
                <w:highlight w:val="none"/>
                <w:lang w:val="de-DE"/>
              </w:rPr>
              <w:t>P-P值，4cm-1,1分钟背景及样品扫描，2100cm-1处</w:t>
            </w:r>
            <w:r>
              <w:rPr>
                <w:rFonts w:hint="eastAsia" w:ascii="宋体" w:hAnsi="宋体" w:eastAsia="宋体" w:cs="宋体"/>
                <w:color w:val="auto"/>
                <w:kern w:val="0"/>
                <w:sz w:val="21"/>
                <w:szCs w:val="21"/>
                <w:highlight w:val="none"/>
                <w:lang w:val="de-DE" w:eastAsia="zh-CN"/>
              </w:rPr>
              <w:t>）</w:t>
            </w:r>
          </w:p>
          <w:p w14:paraId="3F92CBC6">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lang w:val="de-DE" w:eastAsia="zh-CN"/>
              </w:rPr>
            </w:pPr>
            <w:r>
              <w:rPr>
                <w:rFonts w:hint="eastAsia" w:ascii="宋体" w:hAnsi="宋体" w:eastAsia="宋体" w:cs="宋体"/>
                <w:color w:val="auto"/>
                <w:kern w:val="0"/>
                <w:sz w:val="21"/>
                <w:szCs w:val="21"/>
                <w:highlight w:val="none"/>
                <w:lang w:val="en-US" w:eastAsia="zh-CN"/>
              </w:rPr>
              <w:t>6</w:t>
            </w:r>
            <w:r>
              <w:rPr>
                <w:rFonts w:hint="eastAsia" w:ascii="宋体" w:hAnsi="宋体" w:eastAsia="宋体" w:cs="宋体"/>
                <w:color w:val="auto"/>
                <w:kern w:val="0"/>
                <w:sz w:val="21"/>
                <w:szCs w:val="21"/>
                <w:highlight w:val="none"/>
                <w:lang w:val="de-DE"/>
              </w:rPr>
              <w:t xml:space="preserve"> .光路系统：光学台一体化设计，免受外界湿气及有害气体的干扰和腐蚀</w:t>
            </w:r>
            <w:r>
              <w:rPr>
                <w:rFonts w:hint="eastAsia" w:ascii="宋体" w:hAnsi="宋体" w:eastAsia="宋体" w:cs="宋体"/>
                <w:color w:val="auto"/>
                <w:kern w:val="0"/>
                <w:sz w:val="21"/>
                <w:szCs w:val="21"/>
                <w:highlight w:val="none"/>
                <w:lang w:val="de-DE" w:eastAsia="zh-CN"/>
              </w:rPr>
              <w:t>；</w:t>
            </w:r>
          </w:p>
          <w:p w14:paraId="20D408D9">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lang w:val="de-DE" w:eastAsia="zh-CN"/>
              </w:rPr>
            </w:pPr>
            <w:r>
              <w:rPr>
                <w:rFonts w:hint="eastAsia" w:ascii="宋体" w:hAnsi="宋体" w:eastAsia="宋体" w:cs="宋体"/>
                <w:color w:val="auto"/>
                <w:kern w:val="0"/>
                <w:sz w:val="21"/>
                <w:szCs w:val="21"/>
                <w:highlight w:val="none"/>
                <w:lang w:val="en-US" w:eastAsia="zh-CN"/>
              </w:rPr>
              <w:t>7.</w:t>
            </w:r>
            <w:r>
              <w:rPr>
                <w:rFonts w:hint="eastAsia" w:ascii="宋体" w:hAnsi="宋体" w:eastAsia="宋体" w:cs="宋体"/>
                <w:color w:val="auto"/>
                <w:kern w:val="0"/>
                <w:sz w:val="21"/>
                <w:szCs w:val="21"/>
                <w:highlight w:val="none"/>
                <w:lang w:val="de-DE"/>
              </w:rPr>
              <w:t>线性度：小于0.1%</w:t>
            </w:r>
            <w:r>
              <w:rPr>
                <w:rFonts w:hint="eastAsia" w:ascii="宋体" w:hAnsi="宋体" w:eastAsia="宋体" w:cs="宋体"/>
                <w:color w:val="auto"/>
                <w:kern w:val="0"/>
                <w:sz w:val="21"/>
                <w:szCs w:val="21"/>
                <w:highlight w:val="none"/>
                <w:lang w:val="de-DE" w:eastAsia="zh-CN"/>
              </w:rPr>
              <w:t>；</w:t>
            </w:r>
          </w:p>
          <w:p w14:paraId="31C65690">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lang w:val="de-DE"/>
              </w:rPr>
            </w:pPr>
            <w:r>
              <w:rPr>
                <w:rFonts w:hint="eastAsia" w:ascii="宋体" w:hAnsi="宋体" w:eastAsia="宋体" w:cs="宋体"/>
                <w:color w:val="auto"/>
                <w:kern w:val="0"/>
                <w:sz w:val="21"/>
                <w:szCs w:val="21"/>
                <w:highlight w:val="none"/>
                <w:lang w:val="en-US" w:eastAsia="zh-CN"/>
              </w:rPr>
              <w:t>8.</w:t>
            </w:r>
            <w:r>
              <w:rPr>
                <w:rFonts w:hint="eastAsia" w:ascii="宋体" w:hAnsi="宋体" w:eastAsia="宋体" w:cs="宋体"/>
                <w:color w:val="auto"/>
                <w:kern w:val="0"/>
                <w:sz w:val="21"/>
                <w:szCs w:val="21"/>
                <w:highlight w:val="none"/>
                <w:lang w:val="de-DE"/>
              </w:rPr>
              <w:t>波数精度:0.01cm-1</w:t>
            </w:r>
          </w:p>
          <w:p w14:paraId="10FC31F8">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lang w:val="de-DE"/>
              </w:rPr>
            </w:pPr>
            <w:r>
              <w:rPr>
                <w:rFonts w:hint="eastAsia" w:ascii="宋体" w:hAnsi="宋体" w:eastAsia="宋体" w:cs="宋体"/>
                <w:color w:val="auto"/>
                <w:kern w:val="0"/>
                <w:sz w:val="21"/>
                <w:szCs w:val="21"/>
                <w:highlight w:val="none"/>
                <w:lang w:val="en-US" w:eastAsia="zh-CN"/>
              </w:rPr>
              <w:t>9</w:t>
            </w:r>
            <w:r>
              <w:rPr>
                <w:rFonts w:hint="eastAsia" w:ascii="宋体" w:hAnsi="宋体" w:eastAsia="宋体" w:cs="宋体"/>
                <w:color w:val="auto"/>
                <w:kern w:val="0"/>
                <w:sz w:val="21"/>
                <w:szCs w:val="21"/>
                <w:highlight w:val="none"/>
                <w:lang w:val="de-DE"/>
              </w:rPr>
              <w:t>.扫描速度：微机控制和选择不同的扫描速度，档次连续可调，图谱自动比对；</w:t>
            </w:r>
          </w:p>
          <w:p w14:paraId="479E7C4C">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★10.激光器：采用半导体激光器；</w:t>
            </w:r>
          </w:p>
          <w:p w14:paraId="3AEE45AC">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11.干涉仪: 30°角入射迈克尔逊干涉仪；</w:t>
            </w:r>
          </w:p>
          <w:p w14:paraId="01CF15D3">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lang w:val="de-DE"/>
              </w:rPr>
            </w:pPr>
            <w:r>
              <w:rPr>
                <w:rFonts w:hint="eastAsia" w:ascii="宋体" w:hAnsi="宋体" w:eastAsia="宋体" w:cs="宋体"/>
                <w:color w:val="auto"/>
                <w:kern w:val="0"/>
                <w:sz w:val="21"/>
                <w:szCs w:val="21"/>
                <w:highlight w:val="none"/>
                <w:lang w:val="de-DE"/>
              </w:rPr>
              <w:t>1</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lang w:val="de-DE"/>
              </w:rPr>
              <w:t>.样品仓满足不同样品测试需要；可扩展其它红外附件，如镜面反射附件、漫反射附件、ATR附件、气体池、液体池、偏振附件等；</w:t>
            </w:r>
          </w:p>
          <w:p w14:paraId="34A0E689">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lang w:val="de-DE"/>
              </w:rPr>
            </w:pPr>
            <w:r>
              <w:rPr>
                <w:rFonts w:hint="eastAsia" w:ascii="宋体" w:hAnsi="宋体" w:eastAsia="宋体" w:cs="宋体"/>
                <w:color w:val="auto"/>
                <w:kern w:val="0"/>
                <w:sz w:val="21"/>
                <w:szCs w:val="21"/>
                <w:highlight w:val="none"/>
                <w:lang w:val="de-DE"/>
              </w:rPr>
              <w:t>1</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lang w:val="de-DE"/>
              </w:rPr>
              <w:t>.软件工作站支持系统: Win</w:t>
            </w:r>
            <w:r>
              <w:rPr>
                <w:rFonts w:hint="eastAsia" w:ascii="宋体" w:hAnsi="宋体" w:eastAsia="宋体" w:cs="宋体"/>
                <w:color w:val="auto"/>
                <w:kern w:val="0"/>
                <w:sz w:val="21"/>
                <w:szCs w:val="21"/>
                <w:highlight w:val="none"/>
                <w:lang w:val="en-US" w:eastAsia="zh-CN"/>
              </w:rPr>
              <w:t>8</w:t>
            </w:r>
            <w:r>
              <w:rPr>
                <w:rFonts w:hint="eastAsia" w:ascii="宋体" w:hAnsi="宋体" w:eastAsia="宋体" w:cs="宋体"/>
                <w:color w:val="auto"/>
                <w:kern w:val="0"/>
                <w:sz w:val="21"/>
                <w:szCs w:val="21"/>
                <w:highlight w:val="none"/>
                <w:lang w:val="de-DE"/>
              </w:rPr>
              <w:t>、Win</w:t>
            </w:r>
            <w:r>
              <w:rPr>
                <w:rFonts w:hint="eastAsia" w:ascii="宋体" w:hAnsi="宋体" w:eastAsia="宋体" w:cs="宋体"/>
                <w:color w:val="auto"/>
                <w:kern w:val="0"/>
                <w:sz w:val="21"/>
                <w:szCs w:val="21"/>
                <w:highlight w:val="none"/>
                <w:lang w:val="en-US" w:eastAsia="zh-CN"/>
              </w:rPr>
              <w:t>10</w:t>
            </w:r>
            <w:r>
              <w:rPr>
                <w:rFonts w:hint="eastAsia" w:ascii="宋体" w:hAnsi="宋体" w:eastAsia="宋体" w:cs="宋体"/>
                <w:color w:val="auto"/>
                <w:kern w:val="0"/>
                <w:sz w:val="21"/>
                <w:szCs w:val="21"/>
                <w:highlight w:val="none"/>
                <w:lang w:val="de-DE"/>
              </w:rPr>
              <w:t>；</w:t>
            </w:r>
          </w:p>
          <w:p w14:paraId="694BEAB8">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lang w:val="de-DE"/>
              </w:rPr>
            </w:pPr>
            <w:r>
              <w:rPr>
                <w:rFonts w:hint="eastAsia" w:ascii="宋体" w:hAnsi="宋体" w:eastAsia="宋体" w:cs="宋体"/>
                <w:color w:val="auto"/>
                <w:kern w:val="0"/>
                <w:sz w:val="21"/>
                <w:szCs w:val="21"/>
                <w:highlight w:val="none"/>
                <w:lang w:val="de-DE"/>
              </w:rPr>
              <w:t>1</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lang w:val="de-DE"/>
              </w:rPr>
              <w:t>.电子系统：24位A/D转换器，500kHz的A/D转换最高的USB2.0通讯接口；</w:t>
            </w:r>
          </w:p>
          <w:p w14:paraId="13033C4F">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lang w:val="de-DE" w:eastAsia="zh-CN"/>
              </w:rPr>
            </w:pPr>
            <w:r>
              <w:rPr>
                <w:rFonts w:hint="eastAsia" w:ascii="宋体" w:hAnsi="宋体" w:eastAsia="宋体" w:cs="宋体"/>
                <w:color w:val="auto"/>
                <w:kern w:val="0"/>
                <w:sz w:val="21"/>
                <w:szCs w:val="21"/>
                <w:highlight w:val="none"/>
                <w:lang w:val="de-DE"/>
              </w:rPr>
              <w:t>1</w:t>
            </w:r>
            <w:r>
              <w:rPr>
                <w:rFonts w:hint="eastAsia" w:ascii="宋体" w:hAnsi="宋体" w:eastAsia="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lang w:val="de-DE"/>
              </w:rPr>
              <w:t>.操作软件：中文对谱图进行标住，数据处理功能，谱图检索功能，图谱自动对比功能，自我诊断功能，谱图匹配功能，图谱录入功能，标准文件格式，基础红外解析功能，QC比较功能，按平滑功能，y轴归一化功能，谱图组保存功能,可兼容第三方谱图检索</w:t>
            </w:r>
            <w:r>
              <w:rPr>
                <w:rFonts w:hint="eastAsia" w:ascii="宋体" w:hAnsi="宋体" w:eastAsia="宋体" w:cs="宋体"/>
                <w:color w:val="auto"/>
                <w:kern w:val="0"/>
                <w:sz w:val="21"/>
                <w:szCs w:val="21"/>
                <w:highlight w:val="none"/>
                <w:lang w:val="de-DE" w:eastAsia="zh-CN"/>
              </w:rPr>
              <w:t>；</w:t>
            </w:r>
          </w:p>
          <w:p w14:paraId="028A9318">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rPr>
              <w:t>16.具有线性导轨动镜驱动机构；</w:t>
            </w:r>
          </w:p>
          <w:p w14:paraId="61A08906">
            <w:pPr>
              <w:keepNext w:val="0"/>
              <w:keepLines w:val="0"/>
              <w:pageBreakBefore w:val="0"/>
              <w:numPr>
                <w:ilvl w:val="0"/>
                <w:numId w:val="0"/>
              </w:numPr>
              <w:kinsoku/>
              <w:overflowPunct/>
              <w:topLinePunct w:val="0"/>
              <w:bidi w:val="0"/>
              <w:snapToGrid/>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配置</w:t>
            </w:r>
          </w:p>
          <w:p w14:paraId="5E26E6E9">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主机                 1台</w:t>
            </w:r>
          </w:p>
          <w:p w14:paraId="7C688F99">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红外软件             1套</w:t>
            </w:r>
          </w:p>
          <w:p w14:paraId="752AB1DB">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计算机               1套</w:t>
            </w:r>
          </w:p>
          <w:p w14:paraId="2C095EF6">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压片机及模具         1套</w:t>
            </w:r>
          </w:p>
          <w:p w14:paraId="66B72DD5">
            <w:pPr>
              <w:keepNext w:val="0"/>
              <w:keepLines w:val="0"/>
              <w:pageBreakBefore w:val="0"/>
              <w:widowControl/>
              <w:kinsoku/>
              <w:wordWrap w:val="0"/>
              <w:overflowPunct/>
              <w:topLinePunct w:val="0"/>
              <w:bidi w:val="0"/>
              <w:snapToGrid/>
              <w:spacing w:line="440" w:lineRule="exact"/>
              <w:textAlignment w:val="auto"/>
              <w:rPr>
                <w:rFonts w:hint="eastAsia" w:ascii="宋体" w:hAnsi="宋体" w:eastAsia="宋体" w:cs="宋体"/>
                <w:color w:val="auto"/>
                <w:kern w:val="0"/>
                <w:sz w:val="21"/>
                <w:szCs w:val="21"/>
                <w:highlight w:val="none"/>
                <w:lang w:val="de-DE"/>
              </w:rPr>
            </w:pPr>
            <w:r>
              <w:rPr>
                <w:rFonts w:hint="eastAsia" w:ascii="宋体" w:hAnsi="宋体" w:eastAsia="宋体" w:cs="宋体"/>
                <w:color w:val="auto"/>
                <w:sz w:val="21"/>
                <w:szCs w:val="21"/>
                <w:highlight w:val="none"/>
              </w:rPr>
              <w:t>固体液体制样工具箱   1套（常规固体、液体透射制样附件，包括：可拆卸液体池及KBr窗片和CaF2窗片各一套、液体池垫片一套、磁性样品架、液体注射器、刮铲、玛瑙研钵；KBr粉末、液体石蜡等)。</w:t>
            </w:r>
          </w:p>
        </w:tc>
        <w:tc>
          <w:tcPr>
            <w:tcW w:w="594" w:type="dxa"/>
            <w:noWrap w:val="0"/>
            <w:vAlign w:val="center"/>
          </w:tcPr>
          <w:p w14:paraId="1416B144">
            <w:pPr>
              <w:keepNext w:val="0"/>
              <w:keepLines w:val="0"/>
              <w:pageBreakBefore w:val="0"/>
              <w:kinsoku/>
              <w:overflowPunct/>
              <w:topLinePunct w:val="0"/>
              <w:bidi w:val="0"/>
              <w:snapToGrid/>
              <w:spacing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台</w:t>
            </w:r>
          </w:p>
        </w:tc>
        <w:tc>
          <w:tcPr>
            <w:tcW w:w="491" w:type="dxa"/>
            <w:noWrap w:val="0"/>
            <w:vAlign w:val="center"/>
          </w:tcPr>
          <w:p w14:paraId="594EB275">
            <w:pPr>
              <w:keepNext w:val="0"/>
              <w:keepLines w:val="0"/>
              <w:pageBreakBefore w:val="0"/>
              <w:kinsoku/>
              <w:overflowPunct/>
              <w:topLinePunct w:val="0"/>
              <w:bidi w:val="0"/>
              <w:snapToGrid/>
              <w:spacing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w:t>
            </w:r>
          </w:p>
        </w:tc>
      </w:tr>
      <w:tr w14:paraId="10902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40C78C41">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6</w:t>
            </w:r>
          </w:p>
        </w:tc>
        <w:tc>
          <w:tcPr>
            <w:tcW w:w="1483" w:type="dxa"/>
            <w:noWrap w:val="0"/>
            <w:vAlign w:val="center"/>
          </w:tcPr>
          <w:p w14:paraId="545D1E90">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分光光度计</w:t>
            </w:r>
          </w:p>
        </w:tc>
        <w:tc>
          <w:tcPr>
            <w:tcW w:w="5339" w:type="dxa"/>
            <w:noWrap/>
            <w:vAlign w:val="center"/>
          </w:tcPr>
          <w:tbl>
            <w:tblPr>
              <w:tblStyle w:val="28"/>
              <w:tblW w:w="5719"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5"/>
              <w:gridCol w:w="4684"/>
            </w:tblGrid>
            <w:tr w14:paraId="0B427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035" w:type="dxa"/>
                  <w:noWrap w:val="0"/>
                  <w:vAlign w:val="center"/>
                </w:tcPr>
                <w:p w14:paraId="2BB46E9A">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光学系统</w:t>
                  </w:r>
                </w:p>
              </w:tc>
              <w:tc>
                <w:tcPr>
                  <w:tcW w:w="4684" w:type="dxa"/>
                  <w:noWrap w:val="0"/>
                  <w:vAlign w:val="center"/>
                </w:tcPr>
                <w:p w14:paraId="4DC5CCAF">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双光束比例监测</w:t>
                  </w:r>
                </w:p>
              </w:tc>
            </w:tr>
            <w:tr w14:paraId="46FDC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035" w:type="dxa"/>
                  <w:noWrap w:val="0"/>
                  <w:vAlign w:val="center"/>
                </w:tcPr>
                <w:p w14:paraId="4F1DBE32">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波长范围</w:t>
                  </w:r>
                </w:p>
              </w:tc>
              <w:tc>
                <w:tcPr>
                  <w:tcW w:w="4684" w:type="dxa"/>
                  <w:noWrap w:val="0"/>
                  <w:vAlign w:val="center"/>
                </w:tcPr>
                <w:p w14:paraId="4C60BDD7">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325～1100nm</w:t>
                  </w:r>
                </w:p>
              </w:tc>
            </w:tr>
            <w:tr w14:paraId="1C5C7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035" w:type="dxa"/>
                  <w:noWrap w:val="0"/>
                  <w:vAlign w:val="center"/>
                </w:tcPr>
                <w:p w14:paraId="1339CF5A">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波长准确度</w:t>
                  </w:r>
                </w:p>
              </w:tc>
              <w:tc>
                <w:tcPr>
                  <w:tcW w:w="4684" w:type="dxa"/>
                  <w:noWrap w:val="0"/>
                  <w:vAlign w:val="center"/>
                </w:tcPr>
                <w:p w14:paraId="3E3A104F">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±2nm</w:t>
                  </w:r>
                </w:p>
              </w:tc>
            </w:tr>
            <w:tr w14:paraId="45FCC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035" w:type="dxa"/>
                  <w:noWrap w:val="0"/>
                  <w:vAlign w:val="center"/>
                </w:tcPr>
                <w:p w14:paraId="0E6E640D">
                  <w:pPr>
                    <w:keepNext w:val="0"/>
                    <w:keepLines w:val="0"/>
                    <w:pageBreakBefore w:val="0"/>
                    <w:kinsoku/>
                    <w:overflowPunct/>
                    <w:topLinePunct w:val="0"/>
                    <w:autoSpaceDE w:val="0"/>
                    <w:autoSpaceDN w:val="0"/>
                    <w:bidi w:val="0"/>
                    <w:adjustRightInd w:val="0"/>
                    <w:snapToGrid/>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波长重复性</w:t>
                  </w:r>
                </w:p>
              </w:tc>
              <w:tc>
                <w:tcPr>
                  <w:tcW w:w="4684" w:type="dxa"/>
                  <w:noWrap w:val="0"/>
                  <w:vAlign w:val="center"/>
                </w:tcPr>
                <w:p w14:paraId="2CDD448C">
                  <w:pPr>
                    <w:keepNext w:val="0"/>
                    <w:keepLines w:val="0"/>
                    <w:pageBreakBefore w:val="0"/>
                    <w:kinsoku/>
                    <w:overflowPunct/>
                    <w:topLinePunct w:val="0"/>
                    <w:autoSpaceDE w:val="0"/>
                    <w:autoSpaceDN w:val="0"/>
                    <w:bidi w:val="0"/>
                    <w:adjustRightInd w:val="0"/>
                    <w:snapToGrid/>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rPr>
                    <w:t>0.4nm</w:t>
                  </w:r>
                </w:p>
              </w:tc>
            </w:tr>
            <w:tr w14:paraId="39EF5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035" w:type="dxa"/>
                  <w:noWrap w:val="0"/>
                  <w:vAlign w:val="center"/>
                </w:tcPr>
                <w:p w14:paraId="1B72DFCB">
                  <w:pPr>
                    <w:keepNext w:val="0"/>
                    <w:keepLines w:val="0"/>
                    <w:pageBreakBefore w:val="0"/>
                    <w:kinsoku/>
                    <w:overflowPunct/>
                    <w:topLinePunct w:val="0"/>
                    <w:autoSpaceDE w:val="0"/>
                    <w:autoSpaceDN w:val="0"/>
                    <w:bidi w:val="0"/>
                    <w:adjustRightInd w:val="0"/>
                    <w:snapToGrid/>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光谱带宽</w:t>
                  </w:r>
                </w:p>
              </w:tc>
              <w:tc>
                <w:tcPr>
                  <w:tcW w:w="4684" w:type="dxa"/>
                  <w:noWrap w:val="0"/>
                  <w:vAlign w:val="center"/>
                </w:tcPr>
                <w:p w14:paraId="4CB83E85">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2nm</w:t>
                  </w:r>
                </w:p>
              </w:tc>
            </w:tr>
            <w:tr w14:paraId="315ED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035" w:type="dxa"/>
                  <w:noWrap w:val="0"/>
                  <w:vAlign w:val="center"/>
                </w:tcPr>
                <w:p w14:paraId="46D3A3FB">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杂散光</w:t>
                  </w:r>
                </w:p>
              </w:tc>
              <w:tc>
                <w:tcPr>
                  <w:tcW w:w="4684" w:type="dxa"/>
                  <w:noWrap w:val="0"/>
                  <w:vAlign w:val="center"/>
                </w:tcPr>
                <w:p w14:paraId="17AFB3DD">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rPr>
                    <w:t>0.1%T</w:t>
                  </w:r>
                </w:p>
              </w:tc>
            </w:tr>
            <w:tr w14:paraId="241DD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035" w:type="dxa"/>
                  <w:noWrap w:val="0"/>
                  <w:vAlign w:val="center"/>
                </w:tcPr>
                <w:p w14:paraId="760EA14F">
                  <w:pPr>
                    <w:keepNext w:val="0"/>
                    <w:keepLines w:val="0"/>
                    <w:pageBreakBefore w:val="0"/>
                    <w:kinsoku/>
                    <w:overflowPunct/>
                    <w:topLinePunct w:val="0"/>
                    <w:autoSpaceDE w:val="0"/>
                    <w:autoSpaceDN w:val="0"/>
                    <w:bidi w:val="0"/>
                    <w:adjustRightInd w:val="0"/>
                    <w:snapToGrid/>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光度范围</w:t>
                  </w:r>
                </w:p>
              </w:tc>
              <w:tc>
                <w:tcPr>
                  <w:tcW w:w="4684" w:type="dxa"/>
                  <w:noWrap w:val="0"/>
                  <w:vAlign w:val="center"/>
                </w:tcPr>
                <w:p w14:paraId="492298BE">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-0.3～3A</w:t>
                  </w:r>
                </w:p>
              </w:tc>
            </w:tr>
            <w:tr w14:paraId="069CE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2" w:hRule="atLeast"/>
              </w:trPr>
              <w:tc>
                <w:tcPr>
                  <w:tcW w:w="1035" w:type="dxa"/>
                  <w:noWrap w:val="0"/>
                  <w:vAlign w:val="center"/>
                </w:tcPr>
                <w:p w14:paraId="0C1D38D9">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光度准确度</w:t>
                  </w:r>
                </w:p>
              </w:tc>
              <w:tc>
                <w:tcPr>
                  <w:tcW w:w="4684" w:type="dxa"/>
                  <w:noWrap w:val="0"/>
                  <w:vAlign w:val="center"/>
                </w:tcPr>
                <w:p w14:paraId="13B69655">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kern w:val="0"/>
                      <w:sz w:val="21"/>
                      <w:szCs w:val="21"/>
                      <w:highlight w:val="none"/>
                      <w:lang w:val="fr-FR"/>
                    </w:rPr>
                  </w:pPr>
                  <w:r>
                    <w:rPr>
                      <w:rFonts w:hint="eastAsia" w:ascii="宋体" w:hAnsi="宋体" w:eastAsia="宋体" w:cs="宋体"/>
                      <w:color w:val="auto"/>
                      <w:kern w:val="0"/>
                      <w:sz w:val="21"/>
                      <w:szCs w:val="21"/>
                      <w:highlight w:val="none"/>
                      <w:lang w:val="fr-FR"/>
                    </w:rPr>
                    <w:t>±</w:t>
                  </w:r>
                  <w:r>
                    <w:rPr>
                      <w:rFonts w:hint="eastAsia" w:ascii="宋体" w:hAnsi="宋体" w:eastAsia="宋体" w:cs="宋体"/>
                      <w:color w:val="auto"/>
                      <w:sz w:val="21"/>
                      <w:szCs w:val="21"/>
                      <w:highlight w:val="none"/>
                      <w:lang w:val="fr-FR"/>
                    </w:rPr>
                    <w:t>0.002A(0</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fr-FR"/>
                    </w:rPr>
                    <w:t>0.5A)</w:t>
                  </w:r>
                  <w:r>
                    <w:rPr>
                      <w:rFonts w:hint="eastAsia" w:ascii="宋体" w:hAnsi="宋体" w:eastAsia="宋体" w:cs="宋体"/>
                      <w:color w:val="auto"/>
                      <w:kern w:val="0"/>
                      <w:sz w:val="21"/>
                      <w:szCs w:val="21"/>
                      <w:highlight w:val="none"/>
                      <w:lang w:val="fr-FR"/>
                    </w:rPr>
                    <w:t>；±</w:t>
                  </w:r>
                  <w:r>
                    <w:rPr>
                      <w:rFonts w:hint="eastAsia" w:ascii="宋体" w:hAnsi="宋体" w:eastAsia="宋体" w:cs="宋体"/>
                      <w:color w:val="auto"/>
                      <w:sz w:val="21"/>
                      <w:szCs w:val="21"/>
                      <w:highlight w:val="none"/>
                      <w:lang w:val="fr-FR"/>
                    </w:rPr>
                    <w:t>0.004A(0.5</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fr-FR"/>
                    </w:rPr>
                    <w:t>1A)；</w:t>
                  </w:r>
                  <w:r>
                    <w:rPr>
                      <w:rFonts w:hint="eastAsia" w:ascii="宋体" w:hAnsi="宋体" w:eastAsia="宋体" w:cs="宋体"/>
                      <w:color w:val="auto"/>
                      <w:kern w:val="0"/>
                      <w:sz w:val="21"/>
                      <w:szCs w:val="21"/>
                      <w:highlight w:val="none"/>
                      <w:lang w:val="fr-FR"/>
                    </w:rPr>
                    <w:t>±0.3%T(0</w:t>
                  </w: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lang w:val="fr-FR"/>
                    </w:rPr>
                    <w:t>100%T)</w:t>
                  </w:r>
                </w:p>
              </w:tc>
            </w:tr>
            <w:tr w14:paraId="5C4F7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2" w:hRule="atLeast"/>
              </w:trPr>
              <w:tc>
                <w:tcPr>
                  <w:tcW w:w="1035" w:type="dxa"/>
                  <w:noWrap w:val="0"/>
                  <w:vAlign w:val="center"/>
                </w:tcPr>
                <w:p w14:paraId="5693F45C">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光度重复性</w:t>
                  </w:r>
                </w:p>
              </w:tc>
              <w:tc>
                <w:tcPr>
                  <w:tcW w:w="4684" w:type="dxa"/>
                  <w:noWrap w:val="0"/>
                  <w:vAlign w:val="center"/>
                </w:tcPr>
                <w:p w14:paraId="5A1EAC68">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sz w:val="21"/>
                      <w:szCs w:val="21"/>
                      <w:highlight w:val="none"/>
                      <w:lang w:val="fr-FR"/>
                    </w:rPr>
                  </w:pPr>
                  <w:r>
                    <w:rPr>
                      <w:rFonts w:hint="eastAsia" w:ascii="宋体" w:hAnsi="宋体" w:eastAsia="宋体" w:cs="宋体"/>
                      <w:color w:val="auto"/>
                      <w:sz w:val="21"/>
                      <w:szCs w:val="21"/>
                      <w:highlight w:val="none"/>
                      <w:lang w:val="fr-FR"/>
                    </w:rPr>
                    <w:t>≤0.001A(0</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fr-FR"/>
                    </w:rPr>
                    <w:t>0.5A)；≤0.002A(0.5</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fr-FR"/>
                    </w:rPr>
                    <w:t>1A)；≤0.15%T(0</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fr-FR"/>
                    </w:rPr>
                    <w:t>100%T);;</w:t>
                  </w:r>
                </w:p>
              </w:tc>
            </w:tr>
            <w:tr w14:paraId="37BD2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035" w:type="dxa"/>
                  <w:noWrap w:val="0"/>
                  <w:vAlign w:val="center"/>
                </w:tcPr>
                <w:p w14:paraId="1011E63E">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基线平直度</w:t>
                  </w:r>
                </w:p>
              </w:tc>
              <w:tc>
                <w:tcPr>
                  <w:tcW w:w="4684" w:type="dxa"/>
                  <w:noWrap w:val="0"/>
                  <w:vAlign w:val="center"/>
                </w:tcPr>
                <w:p w14:paraId="50433871">
                  <w:pPr>
                    <w:keepNext w:val="0"/>
                    <w:keepLines w:val="0"/>
                    <w:pageBreakBefore w:val="0"/>
                    <w:kinsoku/>
                    <w:overflowPunct/>
                    <w:topLinePunct w:val="0"/>
                    <w:autoSpaceDE w:val="0"/>
                    <w:autoSpaceDN w:val="0"/>
                    <w:bidi w:val="0"/>
                    <w:adjustRightInd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±0.002A   (325</w:t>
                  </w:r>
                  <w:r>
                    <w:rPr>
                      <w:rFonts w:hint="eastAsia" w:ascii="宋体" w:hAnsi="宋体" w:eastAsia="宋体" w:cs="宋体"/>
                      <w:color w:val="auto"/>
                      <w:sz w:val="21"/>
                      <w:szCs w:val="21"/>
                      <w:highlight w:val="none"/>
                    </w:rPr>
                    <w:t>～1000nm)</w:t>
                  </w:r>
                </w:p>
              </w:tc>
            </w:tr>
            <w:tr w14:paraId="7E684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035" w:type="dxa"/>
                  <w:noWrap w:val="0"/>
                  <w:vAlign w:val="center"/>
                </w:tcPr>
                <w:p w14:paraId="0446D5B4">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噪声</w:t>
                  </w:r>
                </w:p>
              </w:tc>
              <w:tc>
                <w:tcPr>
                  <w:tcW w:w="4684" w:type="dxa"/>
                  <w:noWrap w:val="0"/>
                  <w:vAlign w:val="center"/>
                </w:tcPr>
                <w:p w14:paraId="19D0D616">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±0.001A (500nm,P</w:t>
                  </w: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rPr>
                    <w:t>P)开机预热半小时</w:t>
                  </w:r>
                </w:p>
              </w:tc>
            </w:tr>
            <w:tr w14:paraId="62F17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035" w:type="dxa"/>
                  <w:noWrap w:val="0"/>
                  <w:vAlign w:val="center"/>
                </w:tcPr>
                <w:p w14:paraId="6DB95DE8">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基线漂移</w:t>
                  </w:r>
                </w:p>
              </w:tc>
              <w:tc>
                <w:tcPr>
                  <w:tcW w:w="4684" w:type="dxa"/>
                  <w:noWrap w:val="0"/>
                  <w:vAlign w:val="center"/>
                </w:tcPr>
                <w:p w14:paraId="12E4C16E">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≤0.002A/h </w:t>
                  </w:r>
                  <w:r>
                    <w:rPr>
                      <w:rFonts w:hint="eastAsia" w:ascii="宋体" w:hAnsi="宋体" w:eastAsia="宋体" w:cs="宋体"/>
                      <w:color w:val="auto"/>
                      <w:kern w:val="0"/>
                      <w:sz w:val="21"/>
                      <w:szCs w:val="21"/>
                      <w:highlight w:val="none"/>
                    </w:rPr>
                    <w:t>(500nm,0A)</w:t>
                  </w:r>
                  <w:r>
                    <w:rPr>
                      <w:rFonts w:hint="eastAsia" w:ascii="宋体" w:hAnsi="宋体" w:eastAsia="宋体" w:cs="宋体"/>
                      <w:color w:val="auto"/>
                      <w:sz w:val="21"/>
                      <w:szCs w:val="21"/>
                      <w:highlight w:val="none"/>
                    </w:rPr>
                    <w:t xml:space="preserve"> </w:t>
                  </w:r>
                  <w:r>
                    <w:rPr>
                      <w:rFonts w:hint="eastAsia" w:ascii="宋体" w:hAnsi="宋体" w:eastAsia="宋体" w:cs="宋体"/>
                      <w:color w:val="auto"/>
                      <w:kern w:val="0"/>
                      <w:sz w:val="21"/>
                      <w:szCs w:val="21"/>
                      <w:highlight w:val="none"/>
                    </w:rPr>
                    <w:t>开机预热2小时</w:t>
                  </w:r>
                </w:p>
              </w:tc>
            </w:tr>
            <w:tr w14:paraId="52B4D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1035" w:type="dxa"/>
                  <w:noWrap w:val="0"/>
                  <w:vAlign w:val="center"/>
                </w:tcPr>
                <w:p w14:paraId="533E56FB">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仪器功能</w:t>
                  </w:r>
                </w:p>
              </w:tc>
              <w:tc>
                <w:tcPr>
                  <w:tcW w:w="4684" w:type="dxa"/>
                  <w:noWrap w:val="0"/>
                  <w:vAlign w:val="center"/>
                </w:tcPr>
                <w:p w14:paraId="2B68E008">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光度测量功能；支持</w:t>
                  </w:r>
                  <w:r>
                    <w:rPr>
                      <w:rFonts w:hint="eastAsia" w:ascii="宋体" w:hAnsi="宋体" w:eastAsia="宋体" w:cs="宋体"/>
                      <w:color w:val="auto"/>
                      <w:sz w:val="21"/>
                      <w:szCs w:val="21"/>
                      <w:highlight w:val="none"/>
                      <w:lang w:val="en-US" w:eastAsia="zh-CN"/>
                    </w:rPr>
                    <w:t>连接</w:t>
                  </w:r>
                  <w:r>
                    <w:rPr>
                      <w:rFonts w:hint="eastAsia" w:ascii="宋体" w:hAnsi="宋体" w:eastAsia="宋体" w:cs="宋体"/>
                      <w:color w:val="auto"/>
                      <w:sz w:val="21"/>
                      <w:szCs w:val="21"/>
                      <w:highlight w:val="none"/>
                    </w:rPr>
                    <w:t>打印机</w:t>
                  </w:r>
                </w:p>
              </w:tc>
            </w:tr>
          </w:tbl>
          <w:p w14:paraId="556FCD17">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b/>
                <w:bCs/>
                <w:color w:val="auto"/>
                <w:kern w:val="0"/>
                <w:sz w:val="21"/>
                <w:szCs w:val="21"/>
                <w:highlight w:val="none"/>
              </w:rPr>
              <w:t>功能指标</w:t>
            </w:r>
          </w:p>
          <w:p w14:paraId="567E60C1">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具有光度测量、定量测定功能</w:t>
            </w:r>
          </w:p>
          <w:p w14:paraId="72E9D3C4">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段式蓝色LCD显示 </w:t>
            </w:r>
          </w:p>
          <w:p w14:paraId="3EE2665D">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可与PC联机 </w:t>
            </w:r>
          </w:p>
          <w:p w14:paraId="052D56DB">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整机全模具化制造</w:t>
            </w:r>
          </w:p>
          <w:p w14:paraId="43666231">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内置标准镨钕玻璃波长滤光片</w:t>
            </w:r>
          </w:p>
          <w:p w14:paraId="3BFD1ED6">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光路全免调试结构</w:t>
            </w:r>
          </w:p>
          <w:p w14:paraId="3095A3F5">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自动波长校正和定位、自动光源和样品池切换</w:t>
            </w:r>
          </w:p>
          <w:p w14:paraId="1135DA4F">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开放式光路系统</w:t>
            </w:r>
          </w:p>
        </w:tc>
        <w:tc>
          <w:tcPr>
            <w:tcW w:w="594" w:type="dxa"/>
            <w:noWrap w:val="0"/>
            <w:vAlign w:val="center"/>
          </w:tcPr>
          <w:p w14:paraId="7EA9961A">
            <w:pPr>
              <w:keepNext w:val="0"/>
              <w:keepLines w:val="0"/>
              <w:pageBreakBefore w:val="0"/>
              <w:kinsoku/>
              <w:overflowPunct/>
              <w:topLinePunct w:val="0"/>
              <w:bidi w:val="0"/>
              <w:snapToGrid/>
              <w:spacing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台</w:t>
            </w:r>
          </w:p>
        </w:tc>
        <w:tc>
          <w:tcPr>
            <w:tcW w:w="491" w:type="dxa"/>
            <w:noWrap w:val="0"/>
            <w:vAlign w:val="center"/>
          </w:tcPr>
          <w:p w14:paraId="08720C51">
            <w:pPr>
              <w:keepNext w:val="0"/>
              <w:keepLines w:val="0"/>
              <w:pageBreakBefore w:val="0"/>
              <w:kinsoku/>
              <w:overflowPunct/>
              <w:topLinePunct w:val="0"/>
              <w:bidi w:val="0"/>
              <w:snapToGrid/>
              <w:spacing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w:t>
            </w:r>
          </w:p>
        </w:tc>
      </w:tr>
      <w:tr w14:paraId="4F7DC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4B4637D0">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7</w:t>
            </w:r>
          </w:p>
        </w:tc>
        <w:tc>
          <w:tcPr>
            <w:tcW w:w="1483" w:type="dxa"/>
            <w:noWrap w:val="0"/>
            <w:vAlign w:val="center"/>
          </w:tcPr>
          <w:p w14:paraId="3C173424">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智慧黑板（</w:t>
            </w:r>
            <w:r>
              <w:rPr>
                <w:rFonts w:hint="eastAsia" w:ascii="宋体" w:hAnsi="宋体" w:eastAsia="宋体" w:cs="宋体"/>
                <w:color w:val="auto"/>
                <w:sz w:val="21"/>
                <w:szCs w:val="21"/>
                <w:highlight w:val="none"/>
              </w:rPr>
              <w:t>触摸教学一体机</w:t>
            </w:r>
            <w:r>
              <w:rPr>
                <w:rFonts w:hint="eastAsia" w:ascii="宋体" w:hAnsi="宋体" w:eastAsia="宋体" w:cs="宋体"/>
                <w:color w:val="auto"/>
                <w:kern w:val="0"/>
                <w:sz w:val="21"/>
                <w:szCs w:val="21"/>
                <w:highlight w:val="none"/>
                <w:lang w:bidi="ar"/>
              </w:rPr>
              <w:t>）</w:t>
            </w:r>
          </w:p>
        </w:tc>
        <w:tc>
          <w:tcPr>
            <w:tcW w:w="5339" w:type="dxa"/>
            <w:noWrap/>
            <w:vAlign w:val="center"/>
          </w:tcPr>
          <w:p w14:paraId="35D3605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整机采用一体设计，外部无任何可见内部功能模块连接线。边角采用弧形设计，表面无尖锐边缘或凸起，整机采用全金属外壳设计，边框为金属一体成型，整机屏幕边缘采用金属圆角包边防护，整机背板采用金属材质，有效屏蔽内部电路器件辐射；防潮耐盐雾蚀锈，适应多种教学环境。</w:t>
            </w:r>
          </w:p>
          <w:p w14:paraId="4C053DA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 整机支持双路可插拔模块，一个槽位支持OPS模块插拔，另一个槽位支持AI模块插拔。</w:t>
            </w:r>
          </w:p>
          <w:p w14:paraId="12F3217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 整机屏幕不小于98英寸，采用超高清LED液晶显示屏，显示比例16:9，分辨率≥3840×2160，钢化玻璃表面硬度≥9H。</w:t>
            </w:r>
          </w:p>
          <w:p w14:paraId="2315D6C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 安卓系统版本不低于Android 13.0，内存≥4GB，存储空间≥32GB。</w:t>
            </w:r>
          </w:p>
          <w:p w14:paraId="5F011B4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 采用红外触控技术，支持Windows系统中进行50点或以上触控，支持在Android系统中进行40点或以上触控。</w:t>
            </w:r>
          </w:p>
          <w:p w14:paraId="3777728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 整机内置2.2声道扬声器，位于设备上边框，顶置朝前发声，前朝向10W高音扬声器2个，上朝向20W中低音扬声器2个，额定总功率60W。</w:t>
            </w:r>
          </w:p>
          <w:p w14:paraId="60DACD7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 整机内置独立音频CPU处理器，支持麦克风3A算法（自动增益控制（AGC）、自动抑制噪声（ANC）、自动回声消除（AEC）），提升麦克风拾音效果。整机内置专属的4核音频CPU处理器，最多支持8路麦克风数据处理，采样率支持192K，同时不占用整机系统的CPU能力。</w:t>
            </w:r>
          </w:p>
          <w:p w14:paraId="1D0D3FB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 整机内置扬声器采用缝隙发声技术，喇叭采用槽式开口设计，不大于5.8mm</w:t>
            </w:r>
          </w:p>
          <w:p w14:paraId="33495A6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 整机内置非独立外扩展的8阵列麦克风，拾音角度≥180°，可用于对教室环境音频进行采集，拾音距离≥12m。</w:t>
            </w:r>
          </w:p>
          <w:p w14:paraId="1A45D480">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10、整机支持色彩空间可选，包含标准模式和sRGB模式，在sRGB模式下可做到高色准△E≤1。</w:t>
            </w:r>
          </w:p>
          <w:p w14:paraId="713C5FB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 整机系统支持手势上滑调出人工智能画质调节模式（AI-PQ），在安卓通道下可根据屏幕内容自动调节画质参数。</w:t>
            </w:r>
          </w:p>
          <w:p w14:paraId="4DD0D5F9">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 智慧黑板具有物理防蓝光功能，视网膜蓝光危害（蓝光加权辐射亮度LB）＜0.3，依据GB/T 20145-2006国家标准，无蓝光危害。</w:t>
            </w:r>
          </w:p>
          <w:p w14:paraId="026D970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 整机支持纸质护眼模式，可以在任意通道任意画面任意软件所有显示内容下实现画面纹理的实时调整；支持纸质纹理：牛皮纸、素描纸、宣纸、水彩纸、水纹纸；支持透明度调节；支持色温调节。</w:t>
            </w:r>
          </w:p>
          <w:p w14:paraId="0DE1FB6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 整机具备至少6个前置按键，可实现开关机、调出中控菜单、音量+/-、护眼、录屏操作。</w:t>
            </w:r>
          </w:p>
          <w:p w14:paraId="0CC14BD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 整机系统支持书写触控延迟≤15ms。</w:t>
            </w:r>
          </w:p>
          <w:p w14:paraId="4721384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 整机支持蓝牙Bluetooth 5.4标准；Wi-Fi制式支持IEEE 802.11 a/b/g/n/ac/ax；支持版本Wi-Fi6。</w:t>
            </w:r>
          </w:p>
          <w:p w14:paraId="2DD3E65D">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 整机内置双WiFi6无线网卡（不接受外接），在Android和Windows系统下，可实现Wi-Fi无线上网连接、AP无线热点发射。</w:t>
            </w:r>
          </w:p>
          <w:p w14:paraId="706CAB5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 整机支持发出频率为18kHz-22kHz超声波信号，智能手机通过麦克风接收后，智能手机与整机无需在同一局域网内，可实现配对，一键投屏，用户无需手动输入投屏码或扫码获取投屏码；</w:t>
            </w:r>
          </w:p>
          <w:p w14:paraId="5A8B9BA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 整机上边框内置非独立式摄像头，采用一体化集成设计，摄像头数量≥4个。</w:t>
            </w:r>
          </w:p>
          <w:p w14:paraId="590523F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 整机支持上边框内置非独立摄像头模组，同时输出至少 3 路视频流，同时支持课堂远程巡课、课堂教学数据采集、本地画面预览（拍照或视频录制）。</w:t>
            </w:r>
          </w:p>
          <w:p w14:paraId="420D160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 整机支持提笔书写，在Windows系统下可实现无需点击任意功能入口，当检测到红外笔笔尖接触屏幕时，自动进入书写模式。整机支持手笔分离，通过提笔即写唤醒批注功能后，可进行手笔分离功能，使用笔正常书写，使用手指可以操作应用，进行点击操作。</w:t>
            </w:r>
          </w:p>
          <w:p w14:paraId="0792890E">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 整机Windows通道支持文件传输应用，支持通过扫码、wifi直联、超声三种方式与手机进行握手连接，实现文件传输功能。</w:t>
            </w:r>
          </w:p>
          <w:p w14:paraId="5E3DD40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 整机内置专业硬件自检维护工具（非第三方工具），支持对整机内部的板卡及部件模块进行故障检测、系统还原功能。</w:t>
            </w:r>
          </w:p>
          <w:p w14:paraId="2F24CB13">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 整机全通道侧边栏支持展示学校名称、设备班级、场地信息。整机全通道侧边栏快捷菜单中可实时查看物联设备的连接情况，点击设备图标即可调出中控菜单进行管控。</w:t>
            </w:r>
          </w:p>
          <w:p w14:paraId="70D53205">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25、 整机全通道侧边栏快捷菜单包含如下小工具：批注、降半屏、截屏、放大镜、倒计时、日历、聚光灯、秒表、冻屏、倒数日、答题、节拍器。</w:t>
            </w:r>
          </w:p>
          <w:p w14:paraId="58CBE8CB">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26、整机设备可将应用编辑到教学桌面首页，编辑方式支持从教学桌面首页进入编辑，支持在全部应用列表中进入编辑2种方式。教学桌面首页应用支持无需进入应用编辑页面，在首页指定应用上长按进行移除。</w:t>
            </w:r>
          </w:p>
          <w:p w14:paraId="75B4C438">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27、 整机设备自带地震预警软件；支持在地震预警页面中获取位置，可以手动进行位置校准；支持在地震预警页面中选择提醒阈值；支持在地震预警界面中开启和关闭地震预警服务。</w:t>
            </w:r>
          </w:p>
          <w:p w14:paraId="2EF2E6F6">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28、 采用抽拉内置式模块化电脑，抽拉内置式，PC模块可插入整机，可实现无单独接线的插拔。≥Intel i7,12代CPU，内存≥8GB DDR4内存配置，硬盘≥256 GB SSD固态硬盘。</w:t>
            </w:r>
          </w:p>
        </w:tc>
        <w:tc>
          <w:tcPr>
            <w:tcW w:w="594" w:type="dxa"/>
            <w:noWrap w:val="0"/>
            <w:vAlign w:val="center"/>
          </w:tcPr>
          <w:p w14:paraId="7276E684">
            <w:pPr>
              <w:keepNext w:val="0"/>
              <w:keepLines w:val="0"/>
              <w:pageBreakBefore w:val="0"/>
              <w:kinsoku/>
              <w:overflowPunct/>
              <w:topLinePunct w:val="0"/>
              <w:bidi w:val="0"/>
              <w:snapToGrid/>
              <w:spacing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个</w:t>
            </w:r>
          </w:p>
        </w:tc>
        <w:tc>
          <w:tcPr>
            <w:tcW w:w="491" w:type="dxa"/>
            <w:noWrap w:val="0"/>
            <w:vAlign w:val="center"/>
          </w:tcPr>
          <w:p w14:paraId="4645D5B3">
            <w:pPr>
              <w:keepNext w:val="0"/>
              <w:keepLines w:val="0"/>
              <w:pageBreakBefore w:val="0"/>
              <w:kinsoku/>
              <w:overflowPunct/>
              <w:topLinePunct w:val="0"/>
              <w:bidi w:val="0"/>
              <w:snapToGrid/>
              <w:spacing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w:t>
            </w:r>
          </w:p>
        </w:tc>
      </w:tr>
      <w:tr w14:paraId="7397B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38D83587">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8</w:t>
            </w:r>
          </w:p>
        </w:tc>
        <w:tc>
          <w:tcPr>
            <w:tcW w:w="1483" w:type="dxa"/>
            <w:noWrap w:val="0"/>
            <w:vAlign w:val="center"/>
          </w:tcPr>
          <w:p w14:paraId="39F07258">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空调柜机</w:t>
            </w:r>
          </w:p>
        </w:tc>
        <w:tc>
          <w:tcPr>
            <w:tcW w:w="5339" w:type="dxa"/>
            <w:noWrap/>
            <w:vAlign w:val="top"/>
          </w:tcPr>
          <w:p w14:paraId="5B31C92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操控方式：遥控器控制</w:t>
            </w:r>
          </w:p>
          <w:p w14:paraId="08BE6802">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能效等级：一级能效</w:t>
            </w:r>
          </w:p>
          <w:p w14:paraId="34251644">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变频/定频：变频</w:t>
            </w:r>
          </w:p>
          <w:p w14:paraId="03559ADF">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冷暖类型：冷暖</w:t>
            </w:r>
          </w:p>
          <w:p w14:paraId="2962921C">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匹数：5匹</w:t>
            </w:r>
          </w:p>
          <w:p w14:paraId="7F880C17">
            <w:pPr>
              <w:keepNext w:val="0"/>
              <w:keepLines w:val="0"/>
              <w:pageBreakBefore w:val="0"/>
              <w:kinsoku/>
              <w:overflowPunct/>
              <w:topLinePunct w:val="0"/>
              <w:bidi w:val="0"/>
              <w:snapToGrid/>
              <w:spacing w:after="0"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循环风量：≥2100m2/h</w:t>
            </w:r>
          </w:p>
        </w:tc>
        <w:tc>
          <w:tcPr>
            <w:tcW w:w="594" w:type="dxa"/>
            <w:noWrap w:val="0"/>
            <w:vAlign w:val="center"/>
          </w:tcPr>
          <w:p w14:paraId="35A76649">
            <w:pPr>
              <w:keepNext w:val="0"/>
              <w:keepLines w:val="0"/>
              <w:pageBreakBefore w:val="0"/>
              <w:kinsoku/>
              <w:overflowPunct/>
              <w:topLinePunct w:val="0"/>
              <w:bidi w:val="0"/>
              <w:snapToGrid/>
              <w:spacing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个</w:t>
            </w:r>
          </w:p>
        </w:tc>
        <w:tc>
          <w:tcPr>
            <w:tcW w:w="491" w:type="dxa"/>
            <w:noWrap w:val="0"/>
            <w:vAlign w:val="center"/>
          </w:tcPr>
          <w:p w14:paraId="792ACD43">
            <w:pPr>
              <w:keepNext w:val="0"/>
              <w:keepLines w:val="0"/>
              <w:pageBreakBefore w:val="0"/>
              <w:kinsoku/>
              <w:overflowPunct/>
              <w:topLinePunct w:val="0"/>
              <w:bidi w:val="0"/>
              <w:snapToGrid/>
              <w:spacing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2</w:t>
            </w:r>
          </w:p>
        </w:tc>
      </w:tr>
      <w:tr w14:paraId="58732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7B7D5AC3">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9</w:t>
            </w:r>
          </w:p>
        </w:tc>
        <w:tc>
          <w:tcPr>
            <w:tcW w:w="1483" w:type="dxa"/>
            <w:noWrap w:val="0"/>
            <w:vAlign w:val="center"/>
          </w:tcPr>
          <w:p w14:paraId="32C0FBB5">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实验仪器台</w:t>
            </w:r>
          </w:p>
        </w:tc>
        <w:tc>
          <w:tcPr>
            <w:tcW w:w="5339" w:type="dxa"/>
            <w:noWrap/>
            <w:vAlign w:val="center"/>
          </w:tcPr>
          <w:p w14:paraId="0C8DEF3D">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试验台尺寸（宽*高*长）：750mm*800mm*21000mm</w:t>
            </w:r>
          </w:p>
          <w:p w14:paraId="550D8878">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auto"/>
                <w:sz w:val="21"/>
                <w:szCs w:val="21"/>
                <w:highlight w:val="none"/>
                <w:lang w:bidi="ar"/>
              </w:rPr>
            </w:pPr>
            <w:r>
              <w:rPr>
                <w:rFonts w:hint="eastAsia" w:ascii="宋体" w:hAnsi="宋体" w:eastAsia="宋体" w:cs="宋体"/>
                <w:color w:val="auto"/>
                <w:kern w:val="0"/>
                <w:sz w:val="21"/>
                <w:szCs w:val="21"/>
                <w:highlight w:val="none"/>
                <w:lang w:bidi="ar"/>
              </w:rPr>
              <w:t>1.</w:t>
            </w:r>
            <w:r>
              <w:rPr>
                <w:rStyle w:val="68"/>
                <w:rFonts w:hint="eastAsia" w:ascii="宋体" w:hAnsi="宋体" w:eastAsia="宋体" w:cs="宋体"/>
                <w:color w:val="auto"/>
                <w:sz w:val="21"/>
                <w:szCs w:val="21"/>
                <w:highlight w:val="none"/>
                <w:lang w:bidi="ar"/>
              </w:rPr>
              <w:t>主框架：</w:t>
            </w:r>
          </w:p>
          <w:p w14:paraId="32027745">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auto"/>
                <w:sz w:val="21"/>
                <w:szCs w:val="21"/>
                <w:highlight w:val="none"/>
                <w:lang w:bidi="ar"/>
              </w:rPr>
            </w:pPr>
            <w:r>
              <w:rPr>
                <w:rStyle w:val="69"/>
                <w:rFonts w:hint="eastAsia" w:ascii="宋体" w:hAnsi="宋体" w:eastAsia="宋体" w:cs="宋体"/>
                <w:color w:val="auto"/>
                <w:sz w:val="21"/>
                <w:szCs w:val="21"/>
                <w:highlight w:val="none"/>
                <w:lang w:bidi="ar"/>
              </w:rPr>
              <w:t>1.1</w:t>
            </w:r>
            <w:r>
              <w:rPr>
                <w:rStyle w:val="68"/>
                <w:rFonts w:hint="eastAsia" w:ascii="宋体" w:hAnsi="宋体" w:eastAsia="宋体" w:cs="宋体"/>
                <w:color w:val="auto"/>
                <w:sz w:val="21"/>
                <w:szCs w:val="21"/>
                <w:highlight w:val="none"/>
                <w:lang w:bidi="ar"/>
              </w:rPr>
              <w:t>支撑架：采用</w:t>
            </w:r>
            <w:r>
              <w:rPr>
                <w:rStyle w:val="69"/>
                <w:rFonts w:hint="eastAsia" w:ascii="宋体" w:hAnsi="宋体" w:eastAsia="宋体" w:cs="宋体"/>
                <w:color w:val="auto"/>
                <w:sz w:val="21"/>
                <w:szCs w:val="21"/>
                <w:highlight w:val="none"/>
                <w:lang w:bidi="ar"/>
              </w:rPr>
              <w:t>C</w:t>
            </w:r>
            <w:r>
              <w:rPr>
                <w:rStyle w:val="68"/>
                <w:rFonts w:hint="eastAsia" w:ascii="宋体" w:hAnsi="宋体" w:eastAsia="宋体" w:cs="宋体"/>
                <w:color w:val="auto"/>
                <w:sz w:val="21"/>
                <w:szCs w:val="21"/>
                <w:highlight w:val="none"/>
                <w:lang w:bidi="ar"/>
              </w:rPr>
              <w:t>型优质</w:t>
            </w:r>
            <w:r>
              <w:rPr>
                <w:rStyle w:val="68"/>
                <w:rFonts w:hint="eastAsia" w:ascii="宋体" w:hAnsi="宋体" w:eastAsia="宋体" w:cs="宋体"/>
                <w:color w:val="auto"/>
                <w:sz w:val="21"/>
                <w:szCs w:val="21"/>
                <w:highlight w:val="none"/>
                <w:lang w:eastAsia="zh-CN" w:bidi="ar"/>
              </w:rPr>
              <w:t>冷轧</w:t>
            </w:r>
            <w:r>
              <w:rPr>
                <w:rStyle w:val="68"/>
                <w:rFonts w:hint="eastAsia" w:ascii="宋体" w:hAnsi="宋体" w:eastAsia="宋体" w:cs="宋体"/>
                <w:color w:val="auto"/>
                <w:sz w:val="21"/>
                <w:szCs w:val="21"/>
                <w:highlight w:val="none"/>
                <w:lang w:bidi="ar"/>
              </w:rPr>
              <w:t>钢管，与连接件连接的螺丝孔采用拉铆焊接工艺焊接，焊接后表面平整、无焊点痕迹，支撑架的连接螺丝全部采用国家标准内六角不锈钢螺丝连接，表面酸洗磷化处理后经环氧树脂静电粉末喷涂高温固化处理喷涂，耐酸碱及有机溶剂。</w:t>
            </w:r>
          </w:p>
          <w:p w14:paraId="6F99117D">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auto"/>
                <w:sz w:val="21"/>
                <w:szCs w:val="21"/>
                <w:highlight w:val="none"/>
                <w:lang w:bidi="ar"/>
              </w:rPr>
            </w:pPr>
            <w:r>
              <w:rPr>
                <w:rStyle w:val="69"/>
                <w:rFonts w:hint="eastAsia" w:ascii="宋体" w:hAnsi="宋体" w:eastAsia="宋体" w:cs="宋体"/>
                <w:color w:val="auto"/>
                <w:sz w:val="21"/>
                <w:szCs w:val="21"/>
                <w:highlight w:val="none"/>
                <w:lang w:bidi="ar"/>
              </w:rPr>
              <w:t>1.2</w:t>
            </w:r>
            <w:r>
              <w:rPr>
                <w:rStyle w:val="68"/>
                <w:rFonts w:hint="eastAsia" w:ascii="宋体" w:hAnsi="宋体" w:eastAsia="宋体" w:cs="宋体"/>
                <w:color w:val="auto"/>
                <w:sz w:val="21"/>
                <w:szCs w:val="21"/>
                <w:highlight w:val="none"/>
                <w:lang w:bidi="ar"/>
              </w:rPr>
              <w:t>横梁：采用</w:t>
            </w:r>
            <w:r>
              <w:rPr>
                <w:rFonts w:hint="eastAsia" w:ascii="宋体" w:hAnsi="宋体" w:eastAsia="宋体" w:cs="宋体"/>
                <w:color w:val="auto"/>
                <w:sz w:val="21"/>
                <w:szCs w:val="21"/>
                <w:highlight w:val="none"/>
              </w:rPr>
              <w:t>≥</w:t>
            </w:r>
            <w:r>
              <w:rPr>
                <w:rStyle w:val="69"/>
                <w:rFonts w:hint="eastAsia" w:ascii="宋体" w:hAnsi="宋体" w:eastAsia="宋体" w:cs="宋体"/>
                <w:color w:val="auto"/>
                <w:sz w:val="21"/>
                <w:szCs w:val="21"/>
                <w:highlight w:val="none"/>
                <w:lang w:bidi="ar"/>
              </w:rPr>
              <w:t>40×60×1.2mm</w:t>
            </w:r>
            <w:r>
              <w:rPr>
                <w:rStyle w:val="68"/>
                <w:rFonts w:hint="eastAsia" w:ascii="宋体" w:hAnsi="宋体" w:eastAsia="宋体" w:cs="宋体"/>
                <w:color w:val="auto"/>
                <w:sz w:val="21"/>
                <w:szCs w:val="21"/>
                <w:highlight w:val="none"/>
                <w:lang w:bidi="ar"/>
              </w:rPr>
              <w:t>厚优质</w:t>
            </w:r>
            <w:r>
              <w:rPr>
                <w:rStyle w:val="68"/>
                <w:rFonts w:hint="eastAsia" w:ascii="宋体" w:hAnsi="宋体" w:eastAsia="宋体" w:cs="宋体"/>
                <w:color w:val="auto"/>
                <w:sz w:val="21"/>
                <w:szCs w:val="21"/>
                <w:highlight w:val="none"/>
                <w:lang w:eastAsia="zh-CN" w:bidi="ar"/>
              </w:rPr>
              <w:t>冷轧</w:t>
            </w:r>
            <w:r>
              <w:rPr>
                <w:rStyle w:val="68"/>
                <w:rFonts w:hint="eastAsia" w:ascii="宋体" w:hAnsi="宋体" w:eastAsia="宋体" w:cs="宋体"/>
                <w:color w:val="auto"/>
                <w:sz w:val="21"/>
                <w:szCs w:val="21"/>
                <w:highlight w:val="none"/>
                <w:lang w:bidi="ar"/>
              </w:rPr>
              <w:t>钢管，与主框架连接，连接处采用不锈钢螺丝坚固，表面酸洗磷化处理后经环氧树脂静电粉末喷涂高温固化处理喷涂，耐酸碱及有机溶剂。</w:t>
            </w:r>
          </w:p>
          <w:p w14:paraId="0D0624FE">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auto"/>
                <w:sz w:val="21"/>
                <w:szCs w:val="21"/>
                <w:highlight w:val="none"/>
                <w:lang w:bidi="ar"/>
              </w:rPr>
            </w:pPr>
            <w:r>
              <w:rPr>
                <w:rStyle w:val="69"/>
                <w:rFonts w:hint="eastAsia" w:ascii="宋体" w:hAnsi="宋体" w:eastAsia="宋体" w:cs="宋体"/>
                <w:color w:val="auto"/>
                <w:sz w:val="21"/>
                <w:szCs w:val="21"/>
                <w:highlight w:val="none"/>
                <w:lang w:bidi="ar"/>
              </w:rPr>
              <w:t>1.3</w:t>
            </w:r>
            <w:r>
              <w:rPr>
                <w:rStyle w:val="68"/>
                <w:rFonts w:hint="eastAsia" w:ascii="宋体" w:hAnsi="宋体" w:eastAsia="宋体" w:cs="宋体"/>
                <w:color w:val="auto"/>
                <w:sz w:val="21"/>
                <w:szCs w:val="21"/>
                <w:highlight w:val="none"/>
                <w:lang w:bidi="ar"/>
              </w:rPr>
              <w:t>连接翼：采用</w:t>
            </w:r>
            <w:r>
              <w:rPr>
                <w:rFonts w:hint="eastAsia" w:ascii="宋体" w:hAnsi="宋体" w:eastAsia="宋体" w:cs="宋体"/>
                <w:color w:val="auto"/>
                <w:sz w:val="21"/>
                <w:szCs w:val="21"/>
                <w:highlight w:val="none"/>
              </w:rPr>
              <w:t>≥</w:t>
            </w:r>
            <w:r>
              <w:rPr>
                <w:rStyle w:val="69"/>
                <w:rFonts w:hint="eastAsia" w:ascii="宋体" w:hAnsi="宋体" w:eastAsia="宋体" w:cs="宋体"/>
                <w:color w:val="auto"/>
                <w:sz w:val="21"/>
                <w:szCs w:val="21"/>
                <w:highlight w:val="none"/>
                <w:lang w:bidi="ar"/>
              </w:rPr>
              <w:t>2mm</w:t>
            </w:r>
            <w:r>
              <w:rPr>
                <w:rStyle w:val="68"/>
                <w:rFonts w:hint="eastAsia" w:ascii="宋体" w:hAnsi="宋体" w:eastAsia="宋体" w:cs="宋体"/>
                <w:color w:val="auto"/>
                <w:sz w:val="21"/>
                <w:szCs w:val="21"/>
                <w:highlight w:val="none"/>
                <w:lang w:bidi="ar"/>
              </w:rPr>
              <w:t>厚钢板制作，表面酸洗磷化处理后经环氧树脂静电粉末喷涂高温固化处理喷涂，耐酸碱及有机溶剂。</w:t>
            </w:r>
          </w:p>
          <w:p w14:paraId="7E1E00C8">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auto"/>
                <w:sz w:val="21"/>
                <w:szCs w:val="21"/>
                <w:highlight w:val="none"/>
                <w:lang w:bidi="ar"/>
              </w:rPr>
            </w:pPr>
            <w:r>
              <w:rPr>
                <w:rStyle w:val="69"/>
                <w:rFonts w:hint="eastAsia" w:ascii="宋体" w:hAnsi="宋体" w:eastAsia="宋体" w:cs="宋体"/>
                <w:color w:val="auto"/>
                <w:sz w:val="21"/>
                <w:szCs w:val="21"/>
                <w:highlight w:val="none"/>
                <w:lang w:bidi="ar"/>
              </w:rPr>
              <w:t>1.4</w:t>
            </w:r>
            <w:r>
              <w:rPr>
                <w:rStyle w:val="68"/>
                <w:rFonts w:hint="eastAsia" w:ascii="宋体" w:hAnsi="宋体" w:eastAsia="宋体" w:cs="宋体"/>
                <w:color w:val="auto"/>
                <w:sz w:val="21"/>
                <w:szCs w:val="21"/>
                <w:highlight w:val="none"/>
                <w:lang w:bidi="ar"/>
              </w:rPr>
              <w:t>金属材质要求酸洗、磷化、电泳处理，</w:t>
            </w:r>
            <w:r>
              <w:rPr>
                <w:rStyle w:val="69"/>
                <w:rFonts w:hint="eastAsia" w:ascii="宋体" w:hAnsi="宋体" w:eastAsia="宋体" w:cs="宋体"/>
                <w:color w:val="auto"/>
                <w:sz w:val="21"/>
                <w:szCs w:val="21"/>
                <w:highlight w:val="none"/>
                <w:lang w:bidi="ar"/>
              </w:rPr>
              <w:t>PVC</w:t>
            </w:r>
            <w:r>
              <w:rPr>
                <w:rStyle w:val="68"/>
                <w:rFonts w:hint="eastAsia" w:ascii="宋体" w:hAnsi="宋体" w:eastAsia="宋体" w:cs="宋体"/>
                <w:color w:val="auto"/>
                <w:sz w:val="21"/>
                <w:szCs w:val="21"/>
                <w:highlight w:val="none"/>
                <w:lang w:bidi="ar"/>
              </w:rPr>
              <w:t>模具件封口。</w:t>
            </w:r>
          </w:p>
          <w:p w14:paraId="1622F294">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auto"/>
                <w:sz w:val="21"/>
                <w:szCs w:val="21"/>
                <w:highlight w:val="none"/>
                <w:lang w:bidi="ar"/>
              </w:rPr>
            </w:pPr>
            <w:r>
              <w:rPr>
                <w:rStyle w:val="69"/>
                <w:rFonts w:hint="eastAsia" w:ascii="宋体" w:hAnsi="宋体" w:eastAsia="宋体" w:cs="宋体"/>
                <w:color w:val="auto"/>
                <w:sz w:val="21"/>
                <w:szCs w:val="21"/>
                <w:highlight w:val="none"/>
                <w:lang w:bidi="ar"/>
              </w:rPr>
              <w:t xml:space="preserve">  2.</w:t>
            </w:r>
            <w:r>
              <w:rPr>
                <w:rStyle w:val="68"/>
                <w:rFonts w:hint="eastAsia" w:ascii="宋体" w:hAnsi="宋体" w:eastAsia="宋体" w:cs="宋体"/>
                <w:color w:val="auto"/>
                <w:sz w:val="21"/>
                <w:szCs w:val="21"/>
                <w:highlight w:val="none"/>
                <w:lang w:bidi="ar"/>
              </w:rPr>
              <w:t>柜体：</w:t>
            </w:r>
          </w:p>
          <w:p w14:paraId="6C7AD780">
            <w:pPr>
              <w:keepNext w:val="0"/>
              <w:keepLines w:val="0"/>
              <w:pageBreakBefore w:val="0"/>
              <w:kinsoku/>
              <w:overflowPunct/>
              <w:topLinePunct w:val="0"/>
              <w:bidi w:val="0"/>
              <w:snapToGrid/>
              <w:spacing w:after="0" w:line="440" w:lineRule="exact"/>
              <w:textAlignment w:val="auto"/>
              <w:rPr>
                <w:rStyle w:val="69"/>
                <w:rFonts w:hint="eastAsia" w:ascii="宋体" w:hAnsi="宋体" w:eastAsia="宋体" w:cs="宋体"/>
                <w:color w:val="auto"/>
                <w:sz w:val="21"/>
                <w:szCs w:val="21"/>
                <w:highlight w:val="none"/>
                <w:lang w:bidi="ar"/>
              </w:rPr>
            </w:pPr>
            <w:r>
              <w:rPr>
                <w:rStyle w:val="69"/>
                <w:rFonts w:hint="eastAsia" w:ascii="宋体" w:hAnsi="宋体" w:eastAsia="宋体" w:cs="宋体"/>
                <w:color w:val="auto"/>
                <w:sz w:val="21"/>
                <w:szCs w:val="21"/>
                <w:highlight w:val="none"/>
                <w:lang w:bidi="ar"/>
              </w:rPr>
              <w:t>2.1</w:t>
            </w:r>
            <w:r>
              <w:rPr>
                <w:rStyle w:val="68"/>
                <w:rFonts w:hint="eastAsia" w:ascii="宋体" w:hAnsi="宋体" w:eastAsia="宋体" w:cs="宋体"/>
                <w:color w:val="auto"/>
                <w:sz w:val="21"/>
                <w:szCs w:val="21"/>
                <w:highlight w:val="none"/>
                <w:lang w:bidi="ar"/>
              </w:rPr>
              <w:t>抽屉、柜门</w:t>
            </w:r>
            <w:r>
              <w:rPr>
                <w:rStyle w:val="69"/>
                <w:rFonts w:hint="eastAsia" w:ascii="宋体" w:hAnsi="宋体" w:eastAsia="宋体" w:cs="宋体"/>
                <w:color w:val="auto"/>
                <w:sz w:val="21"/>
                <w:szCs w:val="21"/>
                <w:highlight w:val="none"/>
                <w:lang w:bidi="ar"/>
              </w:rPr>
              <w:t xml:space="preserve"> 、</w:t>
            </w:r>
            <w:r>
              <w:rPr>
                <w:rStyle w:val="68"/>
                <w:rFonts w:hint="eastAsia" w:ascii="宋体" w:hAnsi="宋体" w:eastAsia="宋体" w:cs="宋体"/>
                <w:color w:val="auto"/>
                <w:sz w:val="21"/>
                <w:szCs w:val="21"/>
                <w:highlight w:val="none"/>
                <w:lang w:bidi="ar"/>
              </w:rPr>
              <w:t>面板：采用</w:t>
            </w:r>
            <w:r>
              <w:rPr>
                <w:rFonts w:hint="eastAsia" w:ascii="宋体" w:hAnsi="宋体" w:eastAsia="宋体" w:cs="宋体"/>
                <w:color w:val="auto"/>
                <w:sz w:val="21"/>
                <w:szCs w:val="21"/>
                <w:highlight w:val="none"/>
              </w:rPr>
              <w:t>≥</w:t>
            </w:r>
            <w:r>
              <w:rPr>
                <w:rStyle w:val="69"/>
                <w:rFonts w:hint="eastAsia" w:ascii="宋体" w:hAnsi="宋体" w:eastAsia="宋体" w:cs="宋体"/>
                <w:color w:val="auto"/>
                <w:sz w:val="21"/>
                <w:szCs w:val="21"/>
                <w:highlight w:val="none"/>
                <w:lang w:bidi="ar"/>
              </w:rPr>
              <w:t>18mm</w:t>
            </w:r>
            <w:r>
              <w:rPr>
                <w:rStyle w:val="68"/>
                <w:rFonts w:hint="eastAsia" w:ascii="宋体" w:hAnsi="宋体" w:eastAsia="宋体" w:cs="宋体"/>
                <w:color w:val="auto"/>
                <w:sz w:val="21"/>
                <w:szCs w:val="21"/>
                <w:highlight w:val="none"/>
                <w:lang w:bidi="ar"/>
              </w:rPr>
              <w:t>厚优质三聚氰胺板，采用优质</w:t>
            </w:r>
            <w:r>
              <w:rPr>
                <w:rStyle w:val="69"/>
                <w:rFonts w:hint="eastAsia" w:ascii="宋体" w:hAnsi="宋体" w:eastAsia="宋体" w:cs="宋体"/>
                <w:color w:val="auto"/>
                <w:sz w:val="21"/>
                <w:szCs w:val="21"/>
                <w:highlight w:val="none"/>
                <w:lang w:bidi="ar"/>
              </w:rPr>
              <w:t>2.0mmPVC</w:t>
            </w:r>
            <w:r>
              <w:rPr>
                <w:rStyle w:val="68"/>
                <w:rFonts w:hint="eastAsia" w:ascii="宋体" w:hAnsi="宋体" w:eastAsia="宋体" w:cs="宋体"/>
                <w:color w:val="auto"/>
                <w:sz w:val="21"/>
                <w:szCs w:val="21"/>
                <w:highlight w:val="none"/>
                <w:lang w:bidi="ar"/>
              </w:rPr>
              <w:t>材料整体封边。</w:t>
            </w:r>
            <w:r>
              <w:rPr>
                <w:rStyle w:val="69"/>
                <w:rFonts w:hint="eastAsia" w:ascii="宋体" w:hAnsi="宋体" w:eastAsia="宋体" w:cs="宋体"/>
                <w:color w:val="auto"/>
                <w:sz w:val="21"/>
                <w:szCs w:val="21"/>
                <w:highlight w:val="none"/>
                <w:lang w:bidi="ar"/>
              </w:rPr>
              <w:t xml:space="preserve"> </w:t>
            </w:r>
          </w:p>
          <w:p w14:paraId="11F0FA7D">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auto"/>
                <w:sz w:val="21"/>
                <w:szCs w:val="21"/>
                <w:highlight w:val="none"/>
                <w:lang w:bidi="ar"/>
              </w:rPr>
            </w:pPr>
            <w:r>
              <w:rPr>
                <w:rStyle w:val="69"/>
                <w:rFonts w:hint="eastAsia" w:ascii="宋体" w:hAnsi="宋体" w:eastAsia="宋体" w:cs="宋体"/>
                <w:color w:val="auto"/>
                <w:sz w:val="21"/>
                <w:szCs w:val="21"/>
                <w:highlight w:val="none"/>
                <w:lang w:bidi="ar"/>
              </w:rPr>
              <w:t>2.2</w:t>
            </w:r>
            <w:r>
              <w:rPr>
                <w:rStyle w:val="68"/>
                <w:rFonts w:hint="eastAsia" w:ascii="宋体" w:hAnsi="宋体" w:eastAsia="宋体" w:cs="宋体"/>
                <w:color w:val="auto"/>
                <w:sz w:val="21"/>
                <w:szCs w:val="21"/>
                <w:highlight w:val="none"/>
                <w:lang w:bidi="ar"/>
              </w:rPr>
              <w:t>箱体：箱体采用</w:t>
            </w:r>
            <w:r>
              <w:rPr>
                <w:rFonts w:hint="eastAsia" w:ascii="宋体" w:hAnsi="宋体" w:eastAsia="宋体" w:cs="宋体"/>
                <w:color w:val="auto"/>
                <w:sz w:val="21"/>
                <w:szCs w:val="21"/>
                <w:highlight w:val="none"/>
              </w:rPr>
              <w:t>≥</w:t>
            </w:r>
            <w:r>
              <w:rPr>
                <w:rStyle w:val="69"/>
                <w:rFonts w:hint="eastAsia" w:ascii="宋体" w:hAnsi="宋体" w:eastAsia="宋体" w:cs="宋体"/>
                <w:color w:val="auto"/>
                <w:sz w:val="21"/>
                <w:szCs w:val="21"/>
                <w:highlight w:val="none"/>
                <w:lang w:bidi="ar"/>
              </w:rPr>
              <w:t>18mm</w:t>
            </w:r>
            <w:r>
              <w:rPr>
                <w:rStyle w:val="68"/>
                <w:rFonts w:hint="eastAsia" w:ascii="宋体" w:hAnsi="宋体" w:eastAsia="宋体" w:cs="宋体"/>
                <w:color w:val="auto"/>
                <w:sz w:val="21"/>
                <w:szCs w:val="21"/>
                <w:highlight w:val="none"/>
                <w:lang w:bidi="ar"/>
              </w:rPr>
              <w:t>双面灰白色三聚氰胺板，四周边采用</w:t>
            </w:r>
            <w:r>
              <w:rPr>
                <w:rFonts w:hint="eastAsia" w:ascii="宋体" w:hAnsi="宋体" w:eastAsia="宋体" w:cs="宋体"/>
                <w:color w:val="auto"/>
                <w:sz w:val="21"/>
                <w:szCs w:val="21"/>
                <w:highlight w:val="none"/>
              </w:rPr>
              <w:t>≥</w:t>
            </w:r>
            <w:r>
              <w:rPr>
                <w:rStyle w:val="69"/>
                <w:rFonts w:hint="eastAsia" w:ascii="宋体" w:hAnsi="宋体" w:eastAsia="宋体" w:cs="宋体"/>
                <w:color w:val="auto"/>
                <w:sz w:val="21"/>
                <w:szCs w:val="21"/>
                <w:highlight w:val="none"/>
                <w:lang w:bidi="ar"/>
              </w:rPr>
              <w:t>2.0mm</w:t>
            </w:r>
            <w:r>
              <w:rPr>
                <w:rStyle w:val="68"/>
                <w:rFonts w:hint="eastAsia" w:ascii="宋体" w:hAnsi="宋体" w:eastAsia="宋体" w:cs="宋体"/>
                <w:color w:val="auto"/>
                <w:sz w:val="21"/>
                <w:szCs w:val="21"/>
                <w:highlight w:val="none"/>
                <w:lang w:bidi="ar"/>
              </w:rPr>
              <w:t>厚优质</w:t>
            </w:r>
            <w:r>
              <w:rPr>
                <w:rStyle w:val="69"/>
                <w:rFonts w:hint="eastAsia" w:ascii="宋体" w:hAnsi="宋体" w:eastAsia="宋体" w:cs="宋体"/>
                <w:color w:val="auto"/>
                <w:sz w:val="21"/>
                <w:szCs w:val="21"/>
                <w:highlight w:val="none"/>
                <w:lang w:bidi="ar"/>
              </w:rPr>
              <w:t>PVC</w:t>
            </w:r>
            <w:r>
              <w:rPr>
                <w:rStyle w:val="68"/>
                <w:rFonts w:hint="eastAsia" w:ascii="宋体" w:hAnsi="宋体" w:eastAsia="宋体" w:cs="宋体"/>
                <w:color w:val="auto"/>
                <w:sz w:val="21"/>
                <w:szCs w:val="21"/>
                <w:highlight w:val="none"/>
                <w:lang w:bidi="ar"/>
              </w:rPr>
              <w:t>封边及防水处理，所有板件采用拆装式三合一连接；</w:t>
            </w:r>
            <w:r>
              <w:rPr>
                <w:rStyle w:val="69"/>
                <w:rFonts w:hint="eastAsia" w:ascii="宋体" w:hAnsi="宋体" w:eastAsia="宋体" w:cs="宋体"/>
                <w:color w:val="auto"/>
                <w:sz w:val="21"/>
                <w:szCs w:val="21"/>
                <w:highlight w:val="none"/>
                <w:lang w:bidi="ar"/>
              </w:rPr>
              <w:t xml:space="preserve"> </w:t>
            </w:r>
            <w:r>
              <w:rPr>
                <w:rStyle w:val="68"/>
                <w:rFonts w:hint="eastAsia" w:ascii="宋体" w:hAnsi="宋体" w:eastAsia="宋体" w:cs="宋体"/>
                <w:color w:val="auto"/>
                <w:sz w:val="21"/>
                <w:szCs w:val="21"/>
                <w:highlight w:val="none"/>
                <w:lang w:bidi="ar"/>
              </w:rPr>
              <w:t>颜色为宝石蓝。</w:t>
            </w:r>
          </w:p>
          <w:p w14:paraId="7199F5CE">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auto"/>
                <w:sz w:val="21"/>
                <w:szCs w:val="21"/>
                <w:highlight w:val="none"/>
                <w:lang w:bidi="ar"/>
              </w:rPr>
            </w:pPr>
            <w:r>
              <w:rPr>
                <w:rStyle w:val="69"/>
                <w:rFonts w:hint="eastAsia" w:ascii="宋体" w:hAnsi="宋体" w:eastAsia="宋体" w:cs="宋体"/>
                <w:color w:val="auto"/>
                <w:sz w:val="21"/>
                <w:szCs w:val="21"/>
                <w:highlight w:val="none"/>
                <w:lang w:bidi="ar"/>
              </w:rPr>
              <w:t>2.3</w:t>
            </w:r>
            <w:r>
              <w:rPr>
                <w:rStyle w:val="68"/>
                <w:rFonts w:hint="eastAsia" w:ascii="宋体" w:hAnsi="宋体" w:eastAsia="宋体" w:cs="宋体"/>
                <w:color w:val="auto"/>
                <w:sz w:val="21"/>
                <w:szCs w:val="21"/>
                <w:highlight w:val="none"/>
                <w:lang w:bidi="ar"/>
              </w:rPr>
              <w:t>拉手：采用明装拉手。</w:t>
            </w:r>
          </w:p>
          <w:p w14:paraId="2C006263">
            <w:pPr>
              <w:keepNext w:val="0"/>
              <w:keepLines w:val="0"/>
              <w:pageBreakBefore w:val="0"/>
              <w:kinsoku/>
              <w:overflowPunct/>
              <w:topLinePunct w:val="0"/>
              <w:bidi w:val="0"/>
              <w:snapToGrid/>
              <w:spacing w:after="0" w:line="440" w:lineRule="exact"/>
              <w:textAlignment w:val="auto"/>
              <w:rPr>
                <w:rStyle w:val="69"/>
                <w:rFonts w:hint="eastAsia" w:ascii="宋体" w:hAnsi="宋体" w:eastAsia="宋体" w:cs="宋体"/>
                <w:color w:val="auto"/>
                <w:sz w:val="21"/>
                <w:szCs w:val="21"/>
                <w:highlight w:val="none"/>
                <w:lang w:bidi="ar"/>
              </w:rPr>
            </w:pPr>
            <w:r>
              <w:rPr>
                <w:rStyle w:val="69"/>
                <w:rFonts w:hint="eastAsia" w:ascii="宋体" w:hAnsi="宋体" w:eastAsia="宋体" w:cs="宋体"/>
                <w:color w:val="auto"/>
                <w:sz w:val="21"/>
                <w:szCs w:val="21"/>
                <w:highlight w:val="none"/>
                <w:lang w:bidi="ar"/>
              </w:rPr>
              <w:t>2.4</w:t>
            </w:r>
            <w:r>
              <w:rPr>
                <w:rStyle w:val="68"/>
                <w:rFonts w:hint="eastAsia" w:ascii="宋体" w:hAnsi="宋体" w:eastAsia="宋体" w:cs="宋体"/>
                <w:color w:val="auto"/>
                <w:sz w:val="21"/>
                <w:szCs w:val="21"/>
                <w:highlight w:val="none"/>
                <w:lang w:bidi="ar"/>
              </w:rPr>
              <w:t>导轨；采用三节静音阻尼轨道，具备较好的承重能力。</w:t>
            </w:r>
            <w:r>
              <w:rPr>
                <w:rStyle w:val="69"/>
                <w:rFonts w:hint="eastAsia" w:ascii="宋体" w:hAnsi="宋体" w:eastAsia="宋体" w:cs="宋体"/>
                <w:color w:val="auto"/>
                <w:sz w:val="21"/>
                <w:szCs w:val="21"/>
                <w:highlight w:val="none"/>
                <w:lang w:bidi="ar"/>
              </w:rPr>
              <w:t xml:space="preserve"> </w:t>
            </w:r>
          </w:p>
          <w:p w14:paraId="6F155632">
            <w:pPr>
              <w:keepNext w:val="0"/>
              <w:keepLines w:val="0"/>
              <w:pageBreakBefore w:val="0"/>
              <w:kinsoku/>
              <w:overflowPunct/>
              <w:topLinePunct w:val="0"/>
              <w:bidi w:val="0"/>
              <w:snapToGrid/>
              <w:spacing w:after="0" w:line="440" w:lineRule="exact"/>
              <w:textAlignment w:val="auto"/>
              <w:rPr>
                <w:rStyle w:val="68"/>
                <w:rFonts w:hint="eastAsia" w:ascii="宋体" w:hAnsi="宋体" w:eastAsia="宋体" w:cs="宋体"/>
                <w:color w:val="auto"/>
                <w:sz w:val="21"/>
                <w:szCs w:val="21"/>
                <w:highlight w:val="none"/>
                <w:lang w:bidi="ar"/>
              </w:rPr>
            </w:pPr>
            <w:r>
              <w:rPr>
                <w:rStyle w:val="69"/>
                <w:rFonts w:hint="eastAsia" w:ascii="宋体" w:hAnsi="宋体" w:eastAsia="宋体" w:cs="宋体"/>
                <w:color w:val="auto"/>
                <w:sz w:val="21"/>
                <w:szCs w:val="21"/>
                <w:highlight w:val="none"/>
                <w:lang w:bidi="ar"/>
              </w:rPr>
              <w:t>2.5</w:t>
            </w:r>
            <w:r>
              <w:rPr>
                <w:rStyle w:val="68"/>
                <w:rFonts w:hint="eastAsia" w:ascii="宋体" w:hAnsi="宋体" w:eastAsia="宋体" w:cs="宋体"/>
                <w:color w:val="auto"/>
                <w:sz w:val="21"/>
                <w:szCs w:val="21"/>
                <w:highlight w:val="none"/>
                <w:lang w:bidi="ar"/>
              </w:rPr>
              <w:t>缓冲铰链：可拆除，非焊接结构，螺丝连接，开启角度</w:t>
            </w:r>
            <w:r>
              <w:rPr>
                <w:rStyle w:val="69"/>
                <w:rFonts w:hint="eastAsia" w:ascii="宋体" w:hAnsi="宋体" w:eastAsia="宋体" w:cs="宋体"/>
                <w:color w:val="auto"/>
                <w:sz w:val="21"/>
                <w:szCs w:val="21"/>
                <w:highlight w:val="none"/>
                <w:lang w:bidi="ar"/>
              </w:rPr>
              <w:t>90</w:t>
            </w:r>
            <w:r>
              <w:rPr>
                <w:rStyle w:val="70"/>
                <w:rFonts w:hint="eastAsia" w:ascii="宋体" w:hAnsi="宋体" w:eastAsia="宋体" w:cs="宋体"/>
                <w:color w:val="auto"/>
                <w:sz w:val="21"/>
                <w:szCs w:val="21"/>
                <w:highlight w:val="none"/>
                <w:lang w:bidi="ar"/>
              </w:rPr>
              <w:t>゜</w:t>
            </w:r>
            <w:r>
              <w:rPr>
                <w:rStyle w:val="68"/>
                <w:rFonts w:hint="eastAsia" w:ascii="宋体" w:hAnsi="宋体" w:eastAsia="宋体" w:cs="宋体"/>
                <w:color w:val="auto"/>
                <w:sz w:val="21"/>
                <w:szCs w:val="21"/>
                <w:highlight w:val="none"/>
                <w:lang w:bidi="ar"/>
              </w:rPr>
              <w:t>。</w:t>
            </w:r>
          </w:p>
          <w:p w14:paraId="2A901BB2">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kern w:val="0"/>
                <w:sz w:val="21"/>
                <w:szCs w:val="21"/>
                <w:highlight w:val="none"/>
                <w:lang w:eastAsia="zh-CN"/>
              </w:rPr>
            </w:pPr>
            <w:r>
              <w:rPr>
                <w:rStyle w:val="69"/>
                <w:rFonts w:hint="eastAsia" w:ascii="宋体" w:hAnsi="宋体" w:eastAsia="宋体" w:cs="宋体"/>
                <w:color w:val="auto"/>
                <w:sz w:val="21"/>
                <w:szCs w:val="21"/>
                <w:highlight w:val="none"/>
                <w:lang w:bidi="ar"/>
              </w:rPr>
              <w:t>2.6</w:t>
            </w:r>
            <w:r>
              <w:rPr>
                <w:rStyle w:val="68"/>
                <w:rFonts w:hint="eastAsia" w:ascii="宋体" w:hAnsi="宋体" w:eastAsia="宋体" w:cs="宋体"/>
                <w:color w:val="auto"/>
                <w:sz w:val="21"/>
                <w:szCs w:val="21"/>
                <w:highlight w:val="none"/>
                <w:lang w:bidi="ar"/>
              </w:rPr>
              <w:t>可调脚：采用不低于</w:t>
            </w:r>
            <w:r>
              <w:rPr>
                <w:rStyle w:val="69"/>
                <w:rFonts w:hint="eastAsia" w:ascii="宋体" w:hAnsi="宋体" w:eastAsia="宋体" w:cs="宋体"/>
                <w:color w:val="auto"/>
                <w:sz w:val="21"/>
                <w:szCs w:val="21"/>
                <w:highlight w:val="none"/>
                <w:lang w:bidi="ar"/>
              </w:rPr>
              <w:t>M12</w:t>
            </w:r>
            <w:r>
              <w:rPr>
                <w:rStyle w:val="68"/>
                <w:rFonts w:hint="eastAsia" w:ascii="宋体" w:hAnsi="宋体" w:eastAsia="宋体" w:cs="宋体"/>
                <w:color w:val="auto"/>
                <w:sz w:val="21"/>
                <w:szCs w:val="21"/>
                <w:highlight w:val="none"/>
                <w:lang w:bidi="ar"/>
              </w:rPr>
              <w:t>不锈钢橡胶材质制成。可根据室内地坪适当调整柜体高度</w:t>
            </w:r>
            <w:r>
              <w:rPr>
                <w:rStyle w:val="69"/>
                <w:rFonts w:hint="eastAsia" w:ascii="宋体" w:hAnsi="宋体" w:eastAsia="宋体" w:cs="宋体"/>
                <w:color w:val="auto"/>
                <w:sz w:val="21"/>
                <w:szCs w:val="21"/>
                <w:highlight w:val="none"/>
                <w:lang w:bidi="ar"/>
              </w:rPr>
              <w:t>0-40mm</w:t>
            </w:r>
            <w:r>
              <w:rPr>
                <w:rStyle w:val="69"/>
                <w:rFonts w:hint="eastAsia" w:ascii="宋体" w:hAnsi="宋体" w:eastAsia="宋体" w:cs="宋体"/>
                <w:color w:val="auto"/>
                <w:sz w:val="21"/>
                <w:szCs w:val="21"/>
                <w:highlight w:val="none"/>
                <w:lang w:eastAsia="zh-CN" w:bidi="ar"/>
              </w:rPr>
              <w:t>。</w:t>
            </w:r>
          </w:p>
          <w:p w14:paraId="426C9878">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气瓶柜 2个</w:t>
            </w:r>
          </w:p>
          <w:p w14:paraId="49A07E7C">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1、柜体主体;采用0.8mm冷轧钢板，通过剪切、折弯、焊接、冲压、打磨一系列复杂工艺精致而成，柜体表面经过酸洗 磷化后进行环氢树脂静申喷涂，</w:t>
            </w:r>
          </w:p>
          <w:p w14:paraId="19580BF6">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2、声光报警装置，含危险气体报警探头</w:t>
            </w:r>
          </w:p>
          <w:p w14:paraId="2D8AFA71">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3、门板内镶嵌防火减震静音材料填充。</w:t>
            </w:r>
          </w:p>
          <w:p w14:paraId="16CA0537">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4、铰链:铰链:金属不锈钢材质铰链为90°。</w:t>
            </w:r>
          </w:p>
          <w:p w14:paraId="4A20D4F1">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5、拉手:不锈钢拉手。</w:t>
            </w:r>
          </w:p>
          <w:p w14:paraId="4E2D7EB0">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6、智能声光、自动排风一体报警器。</w:t>
            </w:r>
          </w:p>
          <w:p w14:paraId="0AF8AC9B">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7.尺寸：≥900*450*1900mm</w:t>
            </w:r>
          </w:p>
        </w:tc>
        <w:tc>
          <w:tcPr>
            <w:tcW w:w="594" w:type="dxa"/>
            <w:noWrap w:val="0"/>
            <w:vAlign w:val="center"/>
          </w:tcPr>
          <w:p w14:paraId="6D319191">
            <w:pPr>
              <w:keepNext w:val="0"/>
              <w:keepLines w:val="0"/>
              <w:pageBreakBefore w:val="0"/>
              <w:kinsoku/>
              <w:overflowPunct/>
              <w:topLinePunct w:val="0"/>
              <w:bidi w:val="0"/>
              <w:snapToGrid/>
              <w:spacing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套</w:t>
            </w:r>
          </w:p>
        </w:tc>
        <w:tc>
          <w:tcPr>
            <w:tcW w:w="491" w:type="dxa"/>
            <w:noWrap w:val="0"/>
            <w:vAlign w:val="center"/>
          </w:tcPr>
          <w:p w14:paraId="4557BAE3">
            <w:pPr>
              <w:keepNext w:val="0"/>
              <w:keepLines w:val="0"/>
              <w:pageBreakBefore w:val="0"/>
              <w:kinsoku/>
              <w:overflowPunct/>
              <w:topLinePunct w:val="0"/>
              <w:bidi w:val="0"/>
              <w:snapToGrid/>
              <w:spacing w:line="440" w:lineRule="exact"/>
              <w:jc w:val="center"/>
              <w:textAlignment w:val="auto"/>
              <w:rPr>
                <w:rFonts w:hint="eastAsia" w:ascii="宋体" w:hAnsi="宋体" w:eastAsia="宋体" w:cs="宋体"/>
                <w:color w:val="auto"/>
                <w:spacing w:val="-8"/>
                <w:sz w:val="21"/>
                <w:szCs w:val="21"/>
                <w:highlight w:val="none"/>
                <w:lang w:eastAsia="zh-CN"/>
              </w:rPr>
            </w:pPr>
            <w:r>
              <w:rPr>
                <w:rFonts w:hint="eastAsia" w:ascii="宋体" w:hAnsi="宋体" w:eastAsia="宋体" w:cs="宋体"/>
                <w:color w:val="auto"/>
                <w:spacing w:val="-8"/>
                <w:sz w:val="21"/>
                <w:szCs w:val="21"/>
                <w:highlight w:val="none"/>
              </w:rPr>
              <w:t>1</w:t>
            </w:r>
          </w:p>
        </w:tc>
      </w:tr>
      <w:tr w14:paraId="740A5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noWrap w:val="0"/>
            <w:vAlign w:val="center"/>
          </w:tcPr>
          <w:p w14:paraId="7B43C1D0">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10</w:t>
            </w:r>
          </w:p>
        </w:tc>
        <w:tc>
          <w:tcPr>
            <w:tcW w:w="1483" w:type="dxa"/>
            <w:noWrap w:val="0"/>
            <w:vAlign w:val="center"/>
          </w:tcPr>
          <w:p w14:paraId="3B475B23">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凳子</w:t>
            </w:r>
          </w:p>
        </w:tc>
        <w:tc>
          <w:tcPr>
            <w:tcW w:w="5339" w:type="dxa"/>
            <w:noWrap/>
            <w:vAlign w:val="center"/>
          </w:tcPr>
          <w:p w14:paraId="67657AC6">
            <w:pPr>
              <w:keepNext w:val="0"/>
              <w:keepLines w:val="0"/>
              <w:pageBreakBefore w:val="0"/>
              <w:kinsoku/>
              <w:overflowPunct/>
              <w:topLinePunct w:val="0"/>
              <w:bidi w:val="0"/>
              <w:snapToGrid/>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PU面液压升降，承重：100kg以上</w:t>
            </w:r>
          </w:p>
        </w:tc>
        <w:tc>
          <w:tcPr>
            <w:tcW w:w="594" w:type="dxa"/>
            <w:noWrap w:val="0"/>
            <w:vAlign w:val="center"/>
          </w:tcPr>
          <w:p w14:paraId="44D2B79C">
            <w:pPr>
              <w:keepNext w:val="0"/>
              <w:keepLines w:val="0"/>
              <w:pageBreakBefore w:val="0"/>
              <w:kinsoku/>
              <w:overflowPunct/>
              <w:topLinePunct w:val="0"/>
              <w:bidi w:val="0"/>
              <w:snapToGrid/>
              <w:spacing w:line="440" w:lineRule="exact"/>
              <w:ind w:firstLine="194" w:firstLineChars="1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个</w:t>
            </w:r>
          </w:p>
        </w:tc>
        <w:tc>
          <w:tcPr>
            <w:tcW w:w="491" w:type="dxa"/>
            <w:noWrap w:val="0"/>
            <w:vAlign w:val="center"/>
          </w:tcPr>
          <w:p w14:paraId="442E4AF7">
            <w:pPr>
              <w:keepNext w:val="0"/>
              <w:keepLines w:val="0"/>
              <w:pageBreakBefore w:val="0"/>
              <w:kinsoku/>
              <w:overflowPunct/>
              <w:topLinePunct w:val="0"/>
              <w:bidi w:val="0"/>
              <w:snapToGrid/>
              <w:spacing w:line="440" w:lineRule="exact"/>
              <w:jc w:val="center"/>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18</w:t>
            </w:r>
          </w:p>
        </w:tc>
      </w:tr>
      <w:tr w14:paraId="3DC8E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5"/>
            <w:noWrap w:val="0"/>
            <w:vAlign w:val="center"/>
          </w:tcPr>
          <w:p w14:paraId="6A1A6269">
            <w:pPr>
              <w:keepNext w:val="0"/>
              <w:keepLines w:val="0"/>
              <w:pageBreakBefore w:val="0"/>
              <w:kinsoku/>
              <w:overflowPunct/>
              <w:topLinePunct w:val="0"/>
              <w:bidi w:val="0"/>
              <w:snapToGrid/>
              <w:spacing w:line="440" w:lineRule="exact"/>
              <w:jc w:val="both"/>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z w:val="21"/>
                <w:szCs w:val="21"/>
                <w:highlight w:val="none"/>
                <w:lang w:val="en-US" w:eastAsia="zh-CN"/>
              </w:rPr>
              <w:t>备注：</w:t>
            </w:r>
            <w:r>
              <w:rPr>
                <w:rFonts w:hint="eastAsia" w:ascii="宋体" w:hAnsi="宋体" w:eastAsia="宋体" w:cs="宋体"/>
                <w:color w:val="auto"/>
                <w:sz w:val="21"/>
                <w:szCs w:val="21"/>
                <w:highlight w:val="none"/>
              </w:rPr>
              <w:t>该实验室含上下水管、弯头、插线板、电线路等一套</w:t>
            </w:r>
          </w:p>
        </w:tc>
      </w:tr>
    </w:tbl>
    <w:p w14:paraId="606B2361">
      <w:pPr>
        <w:spacing w:line="560" w:lineRule="exact"/>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注：本招标项目必须要实质性满足技术要求和商务要求：</w:t>
      </w:r>
    </w:p>
    <w:p w14:paraId="625F3A3D">
      <w:pPr>
        <w:spacing w:line="560" w:lineRule="exact"/>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1、投标人提供的货物必须是原装全新、高于或等于招标文件规定技术参数的产品。</w:t>
      </w:r>
    </w:p>
    <w:p w14:paraId="04CF99CC">
      <w:pPr>
        <w:spacing w:line="560" w:lineRule="exact"/>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2、属于节能产品政府采购品目规定必须强制采购的, 必须采购当期节能产品政府采购品目内设备或产品；在价格、技术、服务等指标同等条件下，优先采购节能、环保产品（需提供投标人所投产品属于政府采购清单规定的节能环保产品的证明材料）。</w:t>
      </w:r>
    </w:p>
    <w:p w14:paraId="7C5FF78E">
      <w:pPr>
        <w:spacing w:line="560" w:lineRule="exact"/>
        <w:rPr>
          <w:rFonts w:hint="eastAsia" w:ascii="宋体" w:hAnsi="宋体" w:eastAsia="宋体" w:cs="宋体"/>
          <w:b/>
          <w:bCs/>
          <w:color w:val="auto"/>
          <w:kern w:val="0"/>
          <w:sz w:val="21"/>
          <w:szCs w:val="21"/>
          <w:highlight w:val="none"/>
          <w:lang w:val="en-US" w:eastAsia="zh-CN"/>
        </w:rPr>
      </w:pPr>
      <w:r>
        <w:rPr>
          <w:rFonts w:hint="eastAsia" w:ascii="宋体" w:hAnsi="宋体" w:eastAsia="宋体" w:cs="宋体"/>
          <w:b/>
          <w:bCs/>
          <w:color w:val="auto"/>
          <w:kern w:val="0"/>
          <w:sz w:val="21"/>
          <w:szCs w:val="21"/>
          <w:highlight w:val="none"/>
          <w:lang w:val="en-US" w:eastAsia="zh-CN"/>
        </w:rPr>
        <w:t>3、核心产品：原子吸收光谱仪。</w:t>
      </w:r>
    </w:p>
    <w:p w14:paraId="7BC4853F">
      <w:pPr>
        <w:spacing w:line="560" w:lineRule="exact"/>
        <w:rPr>
          <w:rFonts w:hint="eastAsia" w:ascii="宋体" w:hAnsi="宋体" w:eastAsia="宋体" w:cs="宋体"/>
          <w:b/>
          <w:bCs/>
          <w:color w:val="auto"/>
          <w:kern w:val="0"/>
          <w:sz w:val="21"/>
          <w:szCs w:val="21"/>
          <w:highlight w:val="none"/>
          <w:lang w:val="en-US" w:eastAsia="zh-CN"/>
        </w:rPr>
      </w:pPr>
      <w:r>
        <w:rPr>
          <w:rFonts w:hint="eastAsia" w:ascii="宋体" w:hAnsi="宋体" w:eastAsia="宋体" w:cs="宋体"/>
          <w:b/>
          <w:bCs/>
          <w:color w:val="auto"/>
          <w:kern w:val="0"/>
          <w:sz w:val="21"/>
          <w:szCs w:val="21"/>
          <w:highlight w:val="none"/>
          <w:lang w:val="en-US" w:eastAsia="zh-CN"/>
        </w:rPr>
        <w:t>4、所属行业：工业。</w:t>
      </w:r>
    </w:p>
    <w:p w14:paraId="67642ED7">
      <w:pPr>
        <w:spacing w:line="560" w:lineRule="exact"/>
        <w:rPr>
          <w:rFonts w:hint="eastAsia" w:ascii="宋体" w:hAnsi="宋体" w:eastAsia="宋体" w:cs="宋体"/>
          <w:b/>
          <w:bCs/>
          <w:color w:val="auto"/>
          <w:kern w:val="0"/>
          <w:sz w:val="22"/>
          <w:szCs w:val="22"/>
          <w:highlight w:val="none"/>
        </w:rPr>
      </w:pPr>
    </w:p>
    <w:p w14:paraId="13B3F2C1">
      <w:pPr>
        <w:spacing w:line="560" w:lineRule="exact"/>
        <w:rPr>
          <w:rFonts w:hint="eastAsia" w:ascii="宋体" w:hAnsi="宋体" w:eastAsia="宋体" w:cs="宋体"/>
          <w:b/>
          <w:bCs/>
          <w:color w:val="auto"/>
          <w:kern w:val="0"/>
          <w:sz w:val="22"/>
          <w:szCs w:val="22"/>
          <w:highlight w:val="none"/>
        </w:rPr>
      </w:pPr>
    </w:p>
    <w:p w14:paraId="232BF0C7">
      <w:pPr>
        <w:spacing w:line="560" w:lineRule="exact"/>
        <w:rPr>
          <w:rFonts w:hint="eastAsia" w:ascii="宋体" w:hAnsi="宋体" w:eastAsia="宋体" w:cs="宋体"/>
          <w:b/>
          <w:bCs/>
          <w:color w:val="auto"/>
          <w:kern w:val="0"/>
          <w:sz w:val="22"/>
          <w:szCs w:val="22"/>
          <w:highlight w:val="none"/>
        </w:rPr>
      </w:pPr>
    </w:p>
    <w:p w14:paraId="4357EA03">
      <w:pPr>
        <w:spacing w:line="560" w:lineRule="exact"/>
        <w:rPr>
          <w:rFonts w:hint="eastAsia" w:ascii="宋体" w:hAnsi="宋体" w:eastAsia="宋体" w:cs="宋体"/>
          <w:b/>
          <w:bCs/>
          <w:color w:val="auto"/>
          <w:kern w:val="0"/>
          <w:sz w:val="22"/>
          <w:szCs w:val="22"/>
          <w:highlight w:val="none"/>
        </w:rPr>
      </w:pPr>
    </w:p>
    <w:p w14:paraId="124E0E9B">
      <w:pPr>
        <w:spacing w:line="560" w:lineRule="exact"/>
        <w:rPr>
          <w:rFonts w:hint="eastAsia" w:ascii="宋体" w:hAnsi="宋体" w:eastAsia="宋体" w:cs="宋体"/>
          <w:b/>
          <w:bCs/>
          <w:color w:val="auto"/>
          <w:kern w:val="0"/>
          <w:sz w:val="22"/>
          <w:szCs w:val="22"/>
          <w:highlight w:val="none"/>
        </w:rPr>
      </w:pPr>
      <w:bookmarkStart w:id="386" w:name="_GoBack"/>
      <w:bookmarkEnd w:id="386"/>
    </w:p>
    <w:p w14:paraId="1961B17B">
      <w:pPr>
        <w:spacing w:line="560" w:lineRule="exact"/>
        <w:rPr>
          <w:rFonts w:hint="eastAsia" w:ascii="宋体" w:hAnsi="宋体" w:eastAsia="宋体" w:cs="宋体"/>
          <w:b/>
          <w:bCs/>
          <w:color w:val="auto"/>
          <w:kern w:val="0"/>
          <w:sz w:val="22"/>
          <w:szCs w:val="22"/>
          <w:highlight w:val="none"/>
        </w:rPr>
      </w:pPr>
    </w:p>
    <w:p w14:paraId="455CAD96">
      <w:pPr>
        <w:spacing w:line="560" w:lineRule="exact"/>
        <w:rPr>
          <w:rFonts w:hint="eastAsia" w:ascii="宋体" w:hAnsi="宋体" w:eastAsia="宋体" w:cs="宋体"/>
          <w:b/>
          <w:bCs/>
          <w:color w:val="auto"/>
          <w:kern w:val="0"/>
          <w:sz w:val="22"/>
          <w:szCs w:val="22"/>
          <w:highlight w:val="none"/>
        </w:rPr>
      </w:pPr>
    </w:p>
    <w:p w14:paraId="527C17AF">
      <w:pPr>
        <w:spacing w:line="560" w:lineRule="exact"/>
        <w:rPr>
          <w:rFonts w:hint="eastAsia" w:ascii="宋体" w:hAnsi="宋体" w:eastAsia="宋体" w:cs="宋体"/>
          <w:b/>
          <w:bCs/>
          <w:color w:val="auto"/>
          <w:kern w:val="0"/>
          <w:sz w:val="22"/>
          <w:szCs w:val="22"/>
          <w:highlight w:val="none"/>
        </w:rPr>
      </w:pPr>
    </w:p>
    <w:p w14:paraId="5180C519">
      <w:pPr>
        <w:spacing w:line="560" w:lineRule="exact"/>
        <w:rPr>
          <w:rFonts w:hint="eastAsia" w:ascii="宋体" w:hAnsi="宋体" w:eastAsia="宋体" w:cs="宋体"/>
          <w:b/>
          <w:bCs/>
          <w:color w:val="auto"/>
          <w:kern w:val="0"/>
          <w:sz w:val="22"/>
          <w:szCs w:val="22"/>
          <w:highlight w:val="none"/>
        </w:rPr>
      </w:pPr>
    </w:p>
    <w:p w14:paraId="7FF2525C">
      <w:pPr>
        <w:spacing w:line="560" w:lineRule="exact"/>
        <w:rPr>
          <w:rFonts w:hint="eastAsia" w:ascii="宋体" w:hAnsi="宋体" w:eastAsia="宋体" w:cs="宋体"/>
          <w:b/>
          <w:bCs/>
          <w:color w:val="auto"/>
          <w:kern w:val="0"/>
          <w:sz w:val="22"/>
          <w:szCs w:val="22"/>
          <w:highlight w:val="none"/>
        </w:rPr>
      </w:pPr>
    </w:p>
    <w:p w14:paraId="52BB7331">
      <w:pPr>
        <w:pStyle w:val="2"/>
        <w:spacing w:before="0" w:after="0" w:line="360" w:lineRule="auto"/>
        <w:ind w:firstLine="643" w:firstLineChars="200"/>
        <w:rPr>
          <w:rFonts w:ascii="宋体" w:hAnsi="宋体" w:cs="宋体"/>
          <w:color w:val="auto"/>
          <w:highlight w:val="none"/>
        </w:rPr>
      </w:pPr>
      <w:bookmarkStart w:id="286" w:name="_Toc14121"/>
      <w:r>
        <w:rPr>
          <w:rFonts w:hint="eastAsia" w:ascii="宋体" w:hAnsi="宋体" w:cs="宋体"/>
          <w:color w:val="auto"/>
          <w:sz w:val="32"/>
          <w:szCs w:val="32"/>
          <w:highlight w:val="none"/>
        </w:rPr>
        <w:t>第六章 质疑与投诉</w:t>
      </w:r>
      <w:bookmarkEnd w:id="286"/>
    </w:p>
    <w:p w14:paraId="16CCACCA">
      <w:pPr>
        <w:spacing w:line="360" w:lineRule="auto"/>
        <w:rPr>
          <w:rFonts w:ascii="宋体" w:hAnsi="宋体" w:cs="宋体"/>
          <w:b/>
          <w:bCs/>
          <w:color w:val="auto"/>
          <w:szCs w:val="21"/>
          <w:highlight w:val="none"/>
        </w:rPr>
      </w:pPr>
      <w:r>
        <w:rPr>
          <w:rFonts w:hint="eastAsia" w:ascii="宋体" w:hAnsi="宋体" w:cs="宋体"/>
          <w:b/>
          <w:bCs/>
          <w:color w:val="auto"/>
          <w:szCs w:val="21"/>
          <w:highlight w:val="none"/>
        </w:rPr>
        <w:t>一、质疑与答复</w:t>
      </w:r>
    </w:p>
    <w:p w14:paraId="46305435">
      <w:pPr>
        <w:pStyle w:val="26"/>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1. 参与政府采购活动的供应商认为采购文件、采购过程、中标或者成交结果使自己的权益受到损害的，可以在知道或者应知其权益受到损害之日起7个工作日内，以书面形式向采购人、采购代理机构提出质疑。</w:t>
      </w:r>
    </w:p>
    <w:p w14:paraId="581A89F0">
      <w:pPr>
        <w:pStyle w:val="27"/>
        <w:spacing w:line="360" w:lineRule="auto"/>
        <w:rPr>
          <w:rFonts w:ascii="宋体" w:hAnsi="宋体" w:cs="宋体"/>
          <w:color w:val="auto"/>
          <w:szCs w:val="21"/>
          <w:highlight w:val="none"/>
        </w:rPr>
      </w:pPr>
      <w:r>
        <w:rPr>
          <w:rFonts w:hint="eastAsia" w:ascii="宋体" w:hAnsi="宋体" w:cs="宋体"/>
          <w:color w:val="auto"/>
          <w:szCs w:val="21"/>
          <w:highlight w:val="none"/>
        </w:rPr>
        <w:t>2. 供应商提出质疑应当提交质疑函和必要的证明材料。政府采购供应商质疑函范本下载地址：</w:t>
      </w:r>
    </w:p>
    <w:p w14:paraId="62704D86">
      <w:pPr>
        <w:pStyle w:val="27"/>
        <w:spacing w:line="360" w:lineRule="auto"/>
        <w:ind w:left="420" w:leftChars="200" w:firstLine="0" w:firstLineChars="0"/>
        <w:rPr>
          <w:rFonts w:ascii="宋体" w:hAnsi="宋体" w:cs="宋体"/>
          <w:color w:val="auto"/>
          <w:szCs w:val="21"/>
          <w:highlight w:val="none"/>
        </w:rPr>
      </w:pPr>
      <w:r>
        <w:rPr>
          <w:color w:val="auto"/>
          <w:highlight w:val="none"/>
        </w:rPr>
        <w:fldChar w:fldCharType="begin"/>
      </w:r>
      <w:r>
        <w:rPr>
          <w:color w:val="auto"/>
          <w:highlight w:val="none"/>
        </w:rPr>
        <w:instrText xml:space="preserve"> HYPERLINK "http://download.ccgp.gov.cn/2018/zhiyihanfanben.zip；" </w:instrText>
      </w:r>
      <w:r>
        <w:rPr>
          <w:color w:val="auto"/>
          <w:highlight w:val="none"/>
        </w:rPr>
        <w:fldChar w:fldCharType="separate"/>
      </w:r>
      <w:r>
        <w:rPr>
          <w:rStyle w:val="32"/>
          <w:rFonts w:hint="eastAsia" w:ascii="宋体" w:hAnsi="宋体" w:cs="宋体"/>
          <w:color w:val="auto"/>
          <w:szCs w:val="21"/>
          <w:highlight w:val="none"/>
        </w:rPr>
        <w:t>http://download.ccgp.gov.cn/2018/zhiyihanfanben.zip；</w:t>
      </w:r>
      <w:r>
        <w:rPr>
          <w:rStyle w:val="32"/>
          <w:rFonts w:hint="eastAsia" w:ascii="宋体" w:hAnsi="宋体" w:cs="宋体"/>
          <w:color w:val="auto"/>
          <w:szCs w:val="21"/>
          <w:highlight w:val="none"/>
        </w:rPr>
        <w:fldChar w:fldCharType="end"/>
      </w:r>
    </w:p>
    <w:p w14:paraId="702957E2">
      <w:pPr>
        <w:numPr>
          <w:ilvl w:val="0"/>
          <w:numId w:val="5"/>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采购人、采购代理机构不得拒收质疑供应商在法定质疑期内发出的质疑函，应当在收到质疑函后7个工作日内作出答复，并以书面形式通知质疑供应商和其他有关供应商。</w:t>
      </w:r>
    </w:p>
    <w:p w14:paraId="1B91D2F3">
      <w:pPr>
        <w:numPr>
          <w:ilvl w:val="0"/>
          <w:numId w:val="5"/>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供应商提出质疑应当提交质疑函和必要的证明材料。质疑函应当包括下列内容：</w:t>
      </w:r>
    </w:p>
    <w:p w14:paraId="64F69F1B">
      <w:pPr>
        <w:numPr>
          <w:ilvl w:val="1"/>
          <w:numId w:val="5"/>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供应商的姓名或者名称、地址、邮编、联系人及联系电话；</w:t>
      </w:r>
    </w:p>
    <w:p w14:paraId="12E350F5">
      <w:pPr>
        <w:numPr>
          <w:ilvl w:val="1"/>
          <w:numId w:val="5"/>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质疑项目的名称、编号；</w:t>
      </w:r>
    </w:p>
    <w:p w14:paraId="038ED76A">
      <w:pPr>
        <w:numPr>
          <w:ilvl w:val="1"/>
          <w:numId w:val="5"/>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具体、明确的质疑事项和与质疑事项相关的请求；</w:t>
      </w:r>
    </w:p>
    <w:p w14:paraId="02B19D00">
      <w:pPr>
        <w:numPr>
          <w:ilvl w:val="1"/>
          <w:numId w:val="5"/>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事实依据；</w:t>
      </w:r>
    </w:p>
    <w:p w14:paraId="78E085E3">
      <w:pPr>
        <w:numPr>
          <w:ilvl w:val="1"/>
          <w:numId w:val="5"/>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必要的法律依据；</w:t>
      </w:r>
    </w:p>
    <w:p w14:paraId="5D48EAB8">
      <w:pPr>
        <w:numPr>
          <w:ilvl w:val="1"/>
          <w:numId w:val="5"/>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提出质疑的日期；</w:t>
      </w:r>
    </w:p>
    <w:p w14:paraId="349D9DBA">
      <w:pPr>
        <w:numPr>
          <w:ilvl w:val="1"/>
          <w:numId w:val="5"/>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获取招标文件的凭证；</w:t>
      </w:r>
    </w:p>
    <w:p w14:paraId="29B1AC91">
      <w:pPr>
        <w:numPr>
          <w:ilvl w:val="1"/>
          <w:numId w:val="5"/>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以上资料一式二份（采购人、采购代理机构各执一份）。</w:t>
      </w:r>
    </w:p>
    <w:p w14:paraId="4A3BD783">
      <w:pPr>
        <w:numPr>
          <w:ilvl w:val="0"/>
          <w:numId w:val="5"/>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投标人不得虚假质疑和恶意质疑，并对质疑内容的真实性承担责任。</w:t>
      </w:r>
    </w:p>
    <w:p w14:paraId="09DFBDCD">
      <w:pPr>
        <w:spacing w:line="360" w:lineRule="auto"/>
        <w:rPr>
          <w:rFonts w:ascii="宋体" w:hAnsi="宋体" w:cs="宋体"/>
          <w:b/>
          <w:bCs/>
          <w:color w:val="auto"/>
          <w:szCs w:val="21"/>
          <w:highlight w:val="none"/>
        </w:rPr>
      </w:pPr>
      <w:r>
        <w:rPr>
          <w:rFonts w:hint="eastAsia" w:ascii="宋体" w:hAnsi="宋体" w:cs="宋体"/>
          <w:b/>
          <w:bCs/>
          <w:color w:val="auto"/>
          <w:szCs w:val="21"/>
          <w:highlight w:val="none"/>
        </w:rPr>
        <w:t>二、投诉与处理</w:t>
      </w:r>
    </w:p>
    <w:p w14:paraId="586801D1">
      <w:pPr>
        <w:pStyle w:val="26"/>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1、质疑供应商对采购人、采购代理机构的答复不满意，或者采购人、采购代理机构未在规定时间内作出答复的，可以在答复期满后15个工作日内向本办法第六条规定的财政部门提起投诉。</w:t>
      </w:r>
    </w:p>
    <w:p w14:paraId="753ECF36">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2、质疑供应商对采购人、采购代理机构的答复不满意，或者采购人、采购代理机构未在规定时间内作出答复的，可以在答复期满后15个工作日内向财政部门提起投诉。</w:t>
      </w:r>
    </w:p>
    <w:p w14:paraId="39FD7D13">
      <w:pPr>
        <w:pStyle w:val="26"/>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3、投诉人投诉时,应当提交投诉书和必要的证明材料，并按照被投诉采购人、采购代理机构（以下简称被投诉人）和与投诉事项有关的供应商数量提供投诉书的副本。政府采购供应商投诉书范本下载地址：</w:t>
      </w:r>
    </w:p>
    <w:p w14:paraId="2767FC47">
      <w:pPr>
        <w:pStyle w:val="26"/>
        <w:spacing w:line="360" w:lineRule="auto"/>
        <w:ind w:firstLine="640" w:firstLineChars="200"/>
        <w:rPr>
          <w:rFonts w:hint="default" w:ascii="宋体" w:hAnsi="宋体" w:eastAsia="宋体" w:cs="宋体"/>
          <w:color w:val="auto"/>
          <w:sz w:val="21"/>
          <w:szCs w:val="21"/>
          <w:highlight w:val="none"/>
        </w:rPr>
      </w:pPr>
      <w:r>
        <w:rPr>
          <w:color w:val="auto"/>
          <w:highlight w:val="none"/>
        </w:rPr>
        <w:fldChar w:fldCharType="begin"/>
      </w:r>
      <w:r>
        <w:rPr>
          <w:color w:val="auto"/>
          <w:highlight w:val="none"/>
        </w:rPr>
        <w:instrText xml:space="preserve"> HYPERLINK "http://download.ccgp.gov.cn/2018/tousushufanben.zip" </w:instrText>
      </w:r>
      <w:r>
        <w:rPr>
          <w:color w:val="auto"/>
          <w:highlight w:val="none"/>
        </w:rPr>
        <w:fldChar w:fldCharType="separate"/>
      </w:r>
      <w:r>
        <w:rPr>
          <w:rStyle w:val="32"/>
          <w:rFonts w:ascii="宋体" w:hAnsi="宋体" w:eastAsia="宋体" w:cs="宋体"/>
          <w:color w:val="auto"/>
          <w:sz w:val="21"/>
          <w:szCs w:val="21"/>
          <w:highlight w:val="none"/>
        </w:rPr>
        <w:t>http://download.ccgp.gov.cn/2018/tousushufanben.zip</w:t>
      </w:r>
      <w:r>
        <w:rPr>
          <w:rStyle w:val="32"/>
          <w:rFonts w:ascii="宋体" w:hAnsi="宋体" w:eastAsia="宋体" w:cs="宋体"/>
          <w:color w:val="auto"/>
          <w:sz w:val="21"/>
          <w:szCs w:val="21"/>
          <w:highlight w:val="none"/>
        </w:rPr>
        <w:fldChar w:fldCharType="end"/>
      </w:r>
    </w:p>
    <w:p w14:paraId="702E0913">
      <w:pPr>
        <w:numPr>
          <w:ilvl w:val="0"/>
          <w:numId w:val="2"/>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财政部门自收到投诉之日起30个工作日内，对投诉事项作出处理决定并公示。</w:t>
      </w:r>
    </w:p>
    <w:p w14:paraId="2D9BE0B7">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投诉人在全国范围12个月内三次以上投诉查无实据的，由财政部门列入不良行为记录名单。</w:t>
      </w:r>
    </w:p>
    <w:p w14:paraId="72D01331">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投诉人有财政部94号令第三十七条情形的，属于虚假、恶意投诉，由财政部门列入不良行为记录名单，禁止其1至3年内参加政府采购活动。</w:t>
      </w:r>
      <w:bookmarkStart w:id="287" w:name="_Toc507"/>
      <w:bookmarkStart w:id="288" w:name="_Toc23826"/>
    </w:p>
    <w:p w14:paraId="22C2918B">
      <w:pPr>
        <w:spacing w:line="360" w:lineRule="auto"/>
        <w:ind w:firstLine="420" w:firstLineChars="200"/>
        <w:rPr>
          <w:rFonts w:ascii="宋体" w:hAnsi="宋体" w:cs="宋体"/>
          <w:b w:val="0"/>
          <w:bCs w:val="0"/>
          <w:color w:val="auto"/>
          <w:sz w:val="21"/>
          <w:szCs w:val="21"/>
          <w:highlight w:val="none"/>
        </w:rPr>
      </w:pPr>
      <w:r>
        <w:rPr>
          <w:rFonts w:hint="eastAsia" w:ascii="宋体" w:hAnsi="宋体" w:cs="宋体"/>
          <w:b w:val="0"/>
          <w:bCs w:val="0"/>
          <w:color w:val="auto"/>
          <w:sz w:val="21"/>
          <w:szCs w:val="21"/>
          <w:highlight w:val="none"/>
        </w:rPr>
        <w:t>投诉联系电话：0391-8683273  地址：博爱县机关综合办公楼主楼1213室</w:t>
      </w:r>
      <w:bookmarkEnd w:id="287"/>
      <w:bookmarkEnd w:id="288"/>
      <w:r>
        <w:rPr>
          <w:rFonts w:hint="eastAsia" w:ascii="宋体" w:hAnsi="宋体" w:cs="宋体"/>
          <w:b w:val="0"/>
          <w:bCs w:val="0"/>
          <w:color w:val="auto"/>
          <w:sz w:val="21"/>
          <w:szCs w:val="21"/>
          <w:highlight w:val="none"/>
        </w:rPr>
        <w:t xml:space="preserve"> </w:t>
      </w:r>
    </w:p>
    <w:p w14:paraId="65782550">
      <w:pPr>
        <w:pStyle w:val="2"/>
        <w:spacing w:before="0" w:after="0" w:line="360" w:lineRule="auto"/>
        <w:rPr>
          <w:rFonts w:ascii="宋体" w:hAnsi="宋体" w:cs="宋体"/>
          <w:color w:val="auto"/>
          <w:sz w:val="32"/>
          <w:szCs w:val="32"/>
          <w:highlight w:val="none"/>
        </w:rPr>
      </w:pPr>
      <w:bookmarkStart w:id="289" w:name="_Toc8922"/>
      <w:r>
        <w:rPr>
          <w:rFonts w:hint="eastAsia" w:ascii="宋体" w:hAnsi="宋体" w:cs="宋体"/>
          <w:color w:val="auto"/>
          <w:sz w:val="32"/>
          <w:szCs w:val="32"/>
          <w:highlight w:val="none"/>
        </w:rPr>
        <w:t>第七章 履约验收</w:t>
      </w:r>
      <w:bookmarkEnd w:id="289"/>
    </w:p>
    <w:p w14:paraId="072E196C">
      <w:pPr>
        <w:pStyle w:val="26"/>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供应商履约完成后，向采购人提出验收建议，采购人自收到验收建议之日起七个工作日内，采购人组织供应商参与，共同完成验收。技术复杂、专业性强等项目可适当延长验收时间。验收流程如下：</w:t>
      </w:r>
    </w:p>
    <w:p w14:paraId="6E8E5C7E">
      <w:pPr>
        <w:pStyle w:val="26"/>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1.编制验收方案。明确验收时间、方式、程序等内容。技术复杂、社会影响较大的货物类项目，可以根据需要设置出厂检验、到货检验、安装调试检验、配套服务检验等多重验收环节；服务类项目、可根据项目特点对服务期内的服务实施情况分期考核，结合考核情况和服务效果进行验收；工程类项目按照行业部门规定的标准、方法和内容进行验收。</w:t>
      </w:r>
    </w:p>
    <w:p w14:paraId="69E941A4">
      <w:pPr>
        <w:pStyle w:val="26"/>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2.完善验收方式。对于采购人和使用人分离的采购项目，应邀请使用人参与验收。采购人可邀请参与本项目的其他供应商或第三方机构及专家参与验收。相关验收意见作为验收书的参考资料。政府向社会公众提供的公共服务项目，验收时应邀请服务对象参与并出具意见，验收结果应在焦作市政府采购网公示。</w:t>
      </w:r>
    </w:p>
    <w:p w14:paraId="7467F30B">
      <w:pPr>
        <w:pStyle w:val="26"/>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3.按照合同履约验收。验收时，应当按照采购合同的约定对每一项技术、服务、安全标准的履约情况进行确认。验收后，应当出具验收书，列明各项标准的验收情况及项目的总体评价，由验收双方共同签署。采购人将履约验收情况在焦作市政府采购网公示，履约验收各项资料采购人应当存档备查。</w:t>
      </w:r>
    </w:p>
    <w:p w14:paraId="026F63CF">
      <w:pPr>
        <w:pStyle w:val="26"/>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4.落实履约验收责任。验收合格的项目，采购人应当按照合同约定及时支付资金。验收不合格的项目，采购人应当依法及时处理。合同履行、违约责任和解决争议的方式使用《中华人民共和国民法典》。供应商在履约过程中有政府采购法律法规规定的违法情形，采购人应及时报财政部门。</w:t>
      </w:r>
    </w:p>
    <w:p w14:paraId="19040D5D">
      <w:pPr>
        <w:pStyle w:val="6"/>
        <w:rPr>
          <w:rFonts w:ascii="宋体" w:hAnsi="宋体" w:cs="宋体"/>
          <w:color w:val="auto"/>
          <w:szCs w:val="21"/>
          <w:highlight w:val="none"/>
        </w:rPr>
      </w:pPr>
    </w:p>
    <w:p w14:paraId="6BA20E3D">
      <w:pPr>
        <w:pStyle w:val="21"/>
        <w:rPr>
          <w:rFonts w:ascii="宋体" w:hAnsi="宋体" w:cs="宋体"/>
          <w:color w:val="auto"/>
          <w:szCs w:val="21"/>
          <w:highlight w:val="none"/>
        </w:rPr>
      </w:pPr>
    </w:p>
    <w:p w14:paraId="1BB7E4E2">
      <w:pPr>
        <w:pStyle w:val="6"/>
        <w:rPr>
          <w:rFonts w:ascii="宋体" w:hAnsi="宋体" w:cs="宋体"/>
          <w:color w:val="auto"/>
          <w:szCs w:val="21"/>
          <w:highlight w:val="none"/>
        </w:rPr>
      </w:pPr>
    </w:p>
    <w:p w14:paraId="6CD7EB9B">
      <w:pPr>
        <w:pStyle w:val="21"/>
        <w:rPr>
          <w:rFonts w:ascii="宋体" w:hAnsi="宋体" w:cs="宋体"/>
          <w:color w:val="auto"/>
          <w:szCs w:val="21"/>
          <w:highlight w:val="none"/>
        </w:rPr>
      </w:pPr>
    </w:p>
    <w:p w14:paraId="28B653AA">
      <w:pPr>
        <w:pStyle w:val="6"/>
        <w:rPr>
          <w:rFonts w:ascii="宋体" w:hAnsi="宋体" w:cs="宋体"/>
          <w:color w:val="auto"/>
          <w:szCs w:val="21"/>
          <w:highlight w:val="none"/>
        </w:rPr>
      </w:pPr>
    </w:p>
    <w:p w14:paraId="5996FB85">
      <w:pPr>
        <w:pStyle w:val="6"/>
        <w:rPr>
          <w:rFonts w:ascii="宋体" w:hAnsi="宋体" w:cs="宋体"/>
          <w:color w:val="auto"/>
          <w:szCs w:val="21"/>
          <w:highlight w:val="none"/>
        </w:rPr>
      </w:pPr>
    </w:p>
    <w:p w14:paraId="265B4A36">
      <w:pPr>
        <w:pStyle w:val="6"/>
        <w:rPr>
          <w:rFonts w:ascii="宋体" w:hAnsi="宋体" w:cs="宋体"/>
          <w:color w:val="auto"/>
          <w:szCs w:val="21"/>
          <w:highlight w:val="none"/>
        </w:rPr>
      </w:pPr>
    </w:p>
    <w:p w14:paraId="12014FB4">
      <w:pPr>
        <w:pStyle w:val="6"/>
        <w:rPr>
          <w:rFonts w:ascii="宋体" w:hAnsi="宋体" w:cs="宋体"/>
          <w:color w:val="auto"/>
          <w:szCs w:val="21"/>
          <w:highlight w:val="none"/>
        </w:rPr>
      </w:pPr>
    </w:p>
    <w:p w14:paraId="7DAE79CF">
      <w:pPr>
        <w:pStyle w:val="6"/>
        <w:rPr>
          <w:rFonts w:ascii="宋体" w:hAnsi="宋体" w:cs="宋体"/>
          <w:color w:val="auto"/>
          <w:szCs w:val="21"/>
          <w:highlight w:val="none"/>
        </w:rPr>
      </w:pPr>
    </w:p>
    <w:p w14:paraId="51E40468">
      <w:pPr>
        <w:pStyle w:val="6"/>
        <w:rPr>
          <w:rFonts w:ascii="宋体" w:hAnsi="宋体" w:cs="宋体"/>
          <w:color w:val="auto"/>
          <w:szCs w:val="21"/>
          <w:highlight w:val="none"/>
        </w:rPr>
      </w:pPr>
    </w:p>
    <w:p w14:paraId="74CC00FE">
      <w:pPr>
        <w:pStyle w:val="6"/>
        <w:rPr>
          <w:rFonts w:ascii="宋体" w:hAnsi="宋体" w:cs="宋体"/>
          <w:color w:val="auto"/>
          <w:szCs w:val="21"/>
          <w:highlight w:val="none"/>
        </w:rPr>
      </w:pPr>
    </w:p>
    <w:p w14:paraId="0CD1B89A">
      <w:pPr>
        <w:pStyle w:val="6"/>
        <w:rPr>
          <w:rFonts w:ascii="宋体" w:hAnsi="宋体" w:cs="宋体"/>
          <w:color w:val="auto"/>
          <w:szCs w:val="21"/>
          <w:highlight w:val="none"/>
        </w:rPr>
      </w:pPr>
    </w:p>
    <w:p w14:paraId="090A0395">
      <w:pPr>
        <w:pStyle w:val="6"/>
        <w:rPr>
          <w:rFonts w:ascii="宋体" w:hAnsi="宋体" w:cs="宋体"/>
          <w:color w:val="auto"/>
          <w:szCs w:val="21"/>
          <w:highlight w:val="none"/>
        </w:rPr>
      </w:pPr>
    </w:p>
    <w:p w14:paraId="04B4EE07">
      <w:pPr>
        <w:pStyle w:val="6"/>
        <w:rPr>
          <w:rFonts w:ascii="宋体" w:hAnsi="宋体" w:cs="宋体"/>
          <w:color w:val="auto"/>
          <w:szCs w:val="21"/>
          <w:highlight w:val="none"/>
        </w:rPr>
      </w:pPr>
    </w:p>
    <w:p w14:paraId="42BC2E2B">
      <w:pPr>
        <w:pStyle w:val="6"/>
        <w:rPr>
          <w:rFonts w:ascii="宋体" w:hAnsi="宋体" w:cs="宋体"/>
          <w:color w:val="auto"/>
          <w:szCs w:val="21"/>
          <w:highlight w:val="none"/>
        </w:rPr>
      </w:pPr>
    </w:p>
    <w:p w14:paraId="7683E2E9">
      <w:pPr>
        <w:pStyle w:val="6"/>
        <w:rPr>
          <w:rFonts w:ascii="宋体" w:hAnsi="宋体" w:cs="宋体"/>
          <w:color w:val="auto"/>
          <w:szCs w:val="21"/>
          <w:highlight w:val="none"/>
        </w:rPr>
      </w:pPr>
    </w:p>
    <w:p w14:paraId="36CC6D0D">
      <w:pPr>
        <w:pStyle w:val="6"/>
        <w:rPr>
          <w:rFonts w:ascii="宋体" w:hAnsi="宋体" w:cs="宋体"/>
          <w:color w:val="auto"/>
          <w:szCs w:val="21"/>
          <w:highlight w:val="none"/>
        </w:rPr>
      </w:pPr>
    </w:p>
    <w:p w14:paraId="13BF9C0F">
      <w:pPr>
        <w:pStyle w:val="21"/>
        <w:rPr>
          <w:rFonts w:ascii="宋体" w:hAnsi="宋体" w:cs="宋体"/>
          <w:color w:val="auto"/>
          <w:szCs w:val="21"/>
          <w:highlight w:val="none"/>
        </w:rPr>
      </w:pPr>
    </w:p>
    <w:p w14:paraId="088BBE7E">
      <w:pPr>
        <w:pStyle w:val="2"/>
        <w:spacing w:before="0" w:after="0" w:line="360" w:lineRule="auto"/>
        <w:rPr>
          <w:rFonts w:ascii="宋体" w:hAnsi="宋体" w:cs="宋体"/>
          <w:color w:val="auto"/>
          <w:sz w:val="32"/>
          <w:szCs w:val="32"/>
          <w:highlight w:val="none"/>
        </w:rPr>
      </w:pPr>
      <w:bookmarkStart w:id="290" w:name="_Toc12999"/>
      <w:bookmarkStart w:id="291" w:name="_Toc23628"/>
      <w:bookmarkStart w:id="292" w:name="_Toc19054"/>
      <w:r>
        <w:rPr>
          <w:rFonts w:hint="eastAsia" w:ascii="宋体" w:hAnsi="宋体" w:cs="宋体"/>
          <w:color w:val="auto"/>
          <w:sz w:val="32"/>
          <w:szCs w:val="32"/>
          <w:highlight w:val="none"/>
        </w:rPr>
        <w:t>第八章 投标文件格式</w:t>
      </w:r>
      <w:bookmarkEnd w:id="283"/>
      <w:bookmarkEnd w:id="284"/>
      <w:bookmarkEnd w:id="285"/>
      <w:bookmarkEnd w:id="290"/>
      <w:bookmarkEnd w:id="291"/>
      <w:bookmarkEnd w:id="292"/>
    </w:p>
    <w:p w14:paraId="3B85032E">
      <w:pPr>
        <w:rPr>
          <w:rFonts w:ascii="宋体" w:hAnsi="宋体" w:cs="宋体"/>
          <w:color w:val="auto"/>
          <w:highlight w:val="none"/>
        </w:rPr>
      </w:pPr>
      <w:bookmarkStart w:id="293" w:name="_Toc27452"/>
      <w:bookmarkStart w:id="294" w:name="_Toc402961301"/>
      <w:bookmarkStart w:id="295" w:name="_Toc18905"/>
      <w:bookmarkStart w:id="296" w:name="_Toc403122573"/>
    </w:p>
    <w:bookmarkEnd w:id="293"/>
    <w:bookmarkEnd w:id="294"/>
    <w:bookmarkEnd w:id="295"/>
    <w:bookmarkEnd w:id="296"/>
    <w:p w14:paraId="103668EB">
      <w:pPr>
        <w:ind w:firstLine="2891" w:firstLineChars="800"/>
        <w:rPr>
          <w:rFonts w:ascii="宋体" w:hAnsi="宋体" w:cs="宋体"/>
          <w:b/>
          <w:color w:val="auto"/>
          <w:sz w:val="36"/>
          <w:szCs w:val="36"/>
          <w:highlight w:val="none"/>
        </w:rPr>
      </w:pPr>
    </w:p>
    <w:p w14:paraId="0177D19F">
      <w:pPr>
        <w:jc w:val="center"/>
        <w:rPr>
          <w:rFonts w:ascii="宋体" w:hAnsi="宋体" w:cs="宋体"/>
          <w:color w:val="auto"/>
          <w:highlight w:val="none"/>
        </w:rPr>
      </w:pPr>
      <w:r>
        <w:rPr>
          <w:rFonts w:hint="eastAsia" w:ascii="宋体" w:hAnsi="宋体" w:cs="宋体"/>
          <w:b/>
          <w:color w:val="auto"/>
          <w:sz w:val="36"/>
          <w:szCs w:val="36"/>
          <w:highlight w:val="none"/>
        </w:rPr>
        <w:t>（项目名称</w:t>
      </w:r>
      <w:r>
        <w:rPr>
          <w:rFonts w:hint="eastAsia" w:ascii="宋体" w:hAnsi="宋体" w:cs="宋体"/>
          <w:b/>
          <w:color w:val="auto"/>
          <w:sz w:val="36"/>
          <w:szCs w:val="36"/>
          <w:highlight w:val="none"/>
          <w:lang w:val="en-US" w:eastAsia="zh-CN"/>
        </w:rPr>
        <w:t>+</w:t>
      </w:r>
      <w:r>
        <w:rPr>
          <w:rFonts w:hint="eastAsia" w:ascii="宋体" w:hAnsi="宋体" w:cs="宋体"/>
          <w:b/>
          <w:color w:val="auto"/>
          <w:sz w:val="36"/>
          <w:szCs w:val="36"/>
          <w:highlight w:val="none"/>
          <w:u w:val="single"/>
          <w:lang w:val="en-US" w:eastAsia="zh-CN"/>
        </w:rPr>
        <w:t xml:space="preserve">   </w:t>
      </w:r>
      <w:r>
        <w:rPr>
          <w:rFonts w:hint="eastAsia" w:ascii="宋体" w:hAnsi="宋体" w:cs="宋体"/>
          <w:b/>
          <w:color w:val="auto"/>
          <w:sz w:val="36"/>
          <w:szCs w:val="36"/>
          <w:highlight w:val="none"/>
          <w:lang w:val="en-US" w:eastAsia="zh-CN"/>
        </w:rPr>
        <w:t>标段</w:t>
      </w:r>
      <w:r>
        <w:rPr>
          <w:rFonts w:hint="eastAsia" w:ascii="宋体" w:hAnsi="宋体" w:cs="宋体"/>
          <w:b/>
          <w:color w:val="auto"/>
          <w:sz w:val="36"/>
          <w:szCs w:val="36"/>
          <w:highlight w:val="none"/>
        </w:rPr>
        <w:t>）</w:t>
      </w:r>
    </w:p>
    <w:p w14:paraId="404E62F1">
      <w:pPr>
        <w:spacing w:line="360" w:lineRule="auto"/>
        <w:jc w:val="center"/>
        <w:rPr>
          <w:rFonts w:ascii="宋体" w:hAnsi="宋体" w:cs="宋体"/>
          <w:b/>
          <w:color w:val="auto"/>
          <w:sz w:val="32"/>
          <w:szCs w:val="32"/>
          <w:highlight w:val="none"/>
        </w:rPr>
      </w:pPr>
    </w:p>
    <w:p w14:paraId="71DA2318">
      <w:pPr>
        <w:pStyle w:val="27"/>
        <w:rPr>
          <w:rFonts w:ascii="宋体" w:hAnsi="宋体" w:cs="宋体"/>
          <w:color w:val="auto"/>
          <w:highlight w:val="none"/>
        </w:rPr>
      </w:pPr>
    </w:p>
    <w:p w14:paraId="0920BBC4">
      <w:pPr>
        <w:pStyle w:val="27"/>
        <w:rPr>
          <w:rFonts w:ascii="宋体" w:hAnsi="宋体" w:cs="宋体"/>
          <w:color w:val="auto"/>
          <w:highlight w:val="none"/>
        </w:rPr>
      </w:pPr>
    </w:p>
    <w:p w14:paraId="389D20E9">
      <w:pPr>
        <w:pStyle w:val="27"/>
        <w:rPr>
          <w:rFonts w:ascii="宋体" w:hAnsi="宋体" w:cs="宋体"/>
          <w:color w:val="auto"/>
          <w:highlight w:val="none"/>
        </w:rPr>
      </w:pPr>
    </w:p>
    <w:p w14:paraId="22216F3F">
      <w:pPr>
        <w:spacing w:line="360" w:lineRule="auto"/>
        <w:jc w:val="center"/>
        <w:rPr>
          <w:rFonts w:ascii="宋体" w:hAnsi="宋体" w:cs="宋体"/>
          <w:b/>
          <w:color w:val="auto"/>
          <w:spacing w:val="24"/>
          <w:kern w:val="10"/>
          <w:sz w:val="52"/>
          <w:szCs w:val="52"/>
          <w:highlight w:val="none"/>
        </w:rPr>
      </w:pPr>
      <w:r>
        <w:rPr>
          <w:rFonts w:hint="eastAsia" w:ascii="宋体" w:hAnsi="宋体" w:cs="宋体"/>
          <w:b/>
          <w:color w:val="auto"/>
          <w:spacing w:val="24"/>
          <w:kern w:val="10"/>
          <w:sz w:val="52"/>
          <w:szCs w:val="52"/>
          <w:highlight w:val="none"/>
        </w:rPr>
        <w:t>投  标  文  件</w:t>
      </w:r>
    </w:p>
    <w:p w14:paraId="571BF519">
      <w:pPr>
        <w:jc w:val="center"/>
        <w:rPr>
          <w:rFonts w:ascii="宋体" w:hAnsi="宋体" w:cs="宋体"/>
          <w:color w:val="auto"/>
          <w:sz w:val="24"/>
          <w:highlight w:val="none"/>
        </w:rPr>
      </w:pPr>
    </w:p>
    <w:p w14:paraId="33494F1E">
      <w:pPr>
        <w:pStyle w:val="8"/>
        <w:rPr>
          <w:rFonts w:ascii="宋体" w:hAnsi="宋体" w:cs="宋体"/>
          <w:color w:val="auto"/>
          <w:highlight w:val="none"/>
        </w:rPr>
      </w:pPr>
      <w:r>
        <w:rPr>
          <w:rFonts w:hint="eastAsia" w:ascii="宋体" w:hAnsi="宋体" w:cs="宋体"/>
          <w:color w:val="auto"/>
          <w:highlight w:val="none"/>
        </w:rPr>
        <w:t xml:space="preserve"> </w:t>
      </w:r>
    </w:p>
    <w:p w14:paraId="323D2939">
      <w:pPr>
        <w:jc w:val="center"/>
        <w:rPr>
          <w:rFonts w:ascii="宋体" w:hAnsi="宋体" w:cs="宋体"/>
          <w:color w:val="auto"/>
          <w:sz w:val="24"/>
          <w:highlight w:val="none"/>
        </w:rPr>
      </w:pPr>
      <w:r>
        <w:rPr>
          <w:rFonts w:hint="eastAsia" w:ascii="宋体" w:hAnsi="宋体" w:cs="宋体"/>
          <w:color w:val="auto"/>
          <w:sz w:val="24"/>
          <w:highlight w:val="none"/>
        </w:rPr>
        <w:t>（封面）</w:t>
      </w:r>
    </w:p>
    <w:p w14:paraId="4FB376B8">
      <w:pPr>
        <w:jc w:val="center"/>
        <w:rPr>
          <w:rFonts w:ascii="宋体" w:hAnsi="宋体" w:cs="宋体"/>
          <w:color w:val="auto"/>
          <w:sz w:val="24"/>
          <w:highlight w:val="none"/>
        </w:rPr>
      </w:pPr>
    </w:p>
    <w:p w14:paraId="20502D72">
      <w:pPr>
        <w:jc w:val="center"/>
        <w:rPr>
          <w:rFonts w:ascii="宋体" w:hAnsi="宋体" w:cs="宋体"/>
          <w:color w:val="auto"/>
          <w:sz w:val="24"/>
          <w:highlight w:val="none"/>
        </w:rPr>
      </w:pPr>
    </w:p>
    <w:p w14:paraId="323D292C">
      <w:pPr>
        <w:jc w:val="center"/>
        <w:rPr>
          <w:rFonts w:ascii="宋体" w:hAnsi="宋体" w:cs="宋体"/>
          <w:color w:val="auto"/>
          <w:sz w:val="24"/>
          <w:highlight w:val="none"/>
        </w:rPr>
      </w:pPr>
    </w:p>
    <w:p w14:paraId="09557986">
      <w:pPr>
        <w:rPr>
          <w:rFonts w:ascii="宋体" w:hAnsi="宋体" w:cs="宋体"/>
          <w:color w:val="auto"/>
          <w:sz w:val="24"/>
          <w:highlight w:val="none"/>
        </w:rPr>
      </w:pPr>
    </w:p>
    <w:p w14:paraId="05EE4D76">
      <w:pPr>
        <w:jc w:val="center"/>
        <w:rPr>
          <w:rFonts w:ascii="宋体" w:hAnsi="宋体" w:cs="宋体"/>
          <w:color w:val="auto"/>
          <w:sz w:val="24"/>
          <w:highlight w:val="none"/>
        </w:rPr>
      </w:pPr>
    </w:p>
    <w:p w14:paraId="578D02C0">
      <w:pPr>
        <w:jc w:val="center"/>
        <w:rPr>
          <w:rFonts w:ascii="宋体" w:hAnsi="宋体" w:cs="宋体"/>
          <w:color w:val="auto"/>
          <w:sz w:val="24"/>
          <w:highlight w:val="none"/>
        </w:rPr>
      </w:pPr>
    </w:p>
    <w:p w14:paraId="4AB8A072">
      <w:pPr>
        <w:jc w:val="center"/>
        <w:rPr>
          <w:rFonts w:ascii="宋体" w:hAnsi="宋体" w:cs="宋体"/>
          <w:color w:val="auto"/>
          <w:sz w:val="24"/>
          <w:highlight w:val="none"/>
        </w:rPr>
      </w:pPr>
    </w:p>
    <w:p w14:paraId="28B702AD">
      <w:pPr>
        <w:jc w:val="center"/>
        <w:rPr>
          <w:rFonts w:ascii="宋体" w:hAnsi="宋体" w:cs="宋体"/>
          <w:b/>
          <w:color w:val="auto"/>
          <w:sz w:val="24"/>
          <w:highlight w:val="none"/>
        </w:rPr>
      </w:pPr>
    </w:p>
    <w:p w14:paraId="4C08699D">
      <w:pPr>
        <w:pStyle w:val="13"/>
        <w:spacing w:line="600" w:lineRule="exact"/>
        <w:ind w:left="1050" w:leftChars="500" w:firstLine="1152" w:firstLineChars="450"/>
        <w:rPr>
          <w:rFonts w:hint="default" w:hAnsi="宋体" w:cs="宋体"/>
          <w:color w:val="auto"/>
          <w:sz w:val="24"/>
          <w:highlight w:val="none"/>
        </w:rPr>
      </w:pPr>
      <w:r>
        <w:rPr>
          <w:rFonts w:hAnsi="宋体" w:cs="宋体"/>
          <w:color w:val="auto"/>
          <w:spacing w:val="8"/>
          <w:sz w:val="24"/>
          <w:highlight w:val="none"/>
        </w:rPr>
        <w:t>供  应  商：</w:t>
      </w:r>
      <w:r>
        <w:rPr>
          <w:rFonts w:hAnsi="宋体" w:cs="宋体"/>
          <w:color w:val="auto"/>
          <w:sz w:val="24"/>
          <w:highlight w:val="none"/>
        </w:rPr>
        <w:t>（企业电子签章）</w:t>
      </w:r>
    </w:p>
    <w:p w14:paraId="4FE6346A">
      <w:pPr>
        <w:pStyle w:val="13"/>
        <w:spacing w:line="600" w:lineRule="exact"/>
        <w:ind w:left="1050" w:leftChars="500" w:firstLine="1200" w:firstLineChars="500"/>
        <w:rPr>
          <w:rFonts w:hint="default" w:hAnsi="宋体" w:cs="宋体"/>
          <w:color w:val="auto"/>
          <w:sz w:val="24"/>
          <w:highlight w:val="none"/>
        </w:rPr>
      </w:pPr>
      <w:r>
        <w:rPr>
          <w:rFonts w:hAnsi="宋体" w:cs="宋体"/>
          <w:color w:val="auto"/>
          <w:sz w:val="24"/>
          <w:highlight w:val="none"/>
        </w:rPr>
        <w:t>法定代表人或</w:t>
      </w:r>
      <w:r>
        <w:rPr>
          <w:rFonts w:hAnsi="宋体" w:cs="宋体"/>
          <w:color w:val="auto"/>
          <w:spacing w:val="12"/>
          <w:sz w:val="24"/>
          <w:highlight w:val="none"/>
        </w:rPr>
        <w:t>委托代理人：</w:t>
      </w:r>
      <w:r>
        <w:rPr>
          <w:rFonts w:hAnsi="宋体" w:cs="宋体"/>
          <w:color w:val="auto"/>
          <w:sz w:val="24"/>
          <w:highlight w:val="none"/>
        </w:rPr>
        <w:t xml:space="preserve">（签字或盖章）  </w:t>
      </w:r>
    </w:p>
    <w:p w14:paraId="055CB98E">
      <w:pPr>
        <w:pStyle w:val="13"/>
        <w:spacing w:line="600" w:lineRule="exact"/>
        <w:ind w:left="1050" w:leftChars="500" w:firstLine="1200" w:firstLineChars="500"/>
        <w:rPr>
          <w:rFonts w:hint="default" w:hAnsi="宋体" w:cs="宋体"/>
          <w:b/>
          <w:bCs/>
          <w:color w:val="auto"/>
          <w:sz w:val="28"/>
          <w:szCs w:val="28"/>
          <w:highlight w:val="none"/>
        </w:rPr>
      </w:pPr>
      <w:r>
        <w:rPr>
          <w:rFonts w:hAnsi="宋体" w:cs="宋体"/>
          <w:color w:val="auto"/>
          <w:sz w:val="24"/>
          <w:highlight w:val="none"/>
        </w:rPr>
        <w:t>日       期：       年    月    日</w:t>
      </w:r>
    </w:p>
    <w:p w14:paraId="5F5D025C">
      <w:pPr>
        <w:ind w:firstLine="540" w:firstLineChars="192"/>
        <w:jc w:val="center"/>
        <w:rPr>
          <w:rFonts w:ascii="宋体" w:hAnsi="宋体" w:cs="宋体"/>
          <w:b/>
          <w:bCs/>
          <w:color w:val="auto"/>
          <w:sz w:val="28"/>
          <w:szCs w:val="28"/>
          <w:highlight w:val="none"/>
        </w:rPr>
      </w:pPr>
    </w:p>
    <w:p w14:paraId="75F5B3EF">
      <w:pPr>
        <w:ind w:firstLine="848" w:firstLineChars="192"/>
        <w:jc w:val="center"/>
        <w:rPr>
          <w:rFonts w:ascii="宋体" w:hAnsi="宋体" w:cs="宋体"/>
          <w:b/>
          <w:bCs/>
          <w:color w:val="auto"/>
          <w:sz w:val="44"/>
          <w:szCs w:val="44"/>
          <w:highlight w:val="none"/>
        </w:rPr>
      </w:pPr>
    </w:p>
    <w:p w14:paraId="13A8E28D">
      <w:pPr>
        <w:pStyle w:val="26"/>
        <w:rPr>
          <w:color w:val="auto"/>
          <w:highlight w:val="none"/>
        </w:rPr>
      </w:pPr>
    </w:p>
    <w:p w14:paraId="572136B4">
      <w:pPr>
        <w:pStyle w:val="27"/>
        <w:ind w:firstLine="883"/>
        <w:rPr>
          <w:rFonts w:ascii="宋体" w:hAnsi="宋体" w:cs="宋体"/>
          <w:b/>
          <w:bCs/>
          <w:color w:val="auto"/>
          <w:sz w:val="44"/>
          <w:szCs w:val="44"/>
          <w:highlight w:val="none"/>
        </w:rPr>
      </w:pPr>
    </w:p>
    <w:p w14:paraId="5F767FB4">
      <w:pPr>
        <w:pStyle w:val="27"/>
        <w:ind w:firstLine="883"/>
        <w:rPr>
          <w:rFonts w:ascii="宋体" w:hAnsi="宋体" w:cs="宋体"/>
          <w:b/>
          <w:bCs/>
          <w:color w:val="auto"/>
          <w:sz w:val="44"/>
          <w:szCs w:val="44"/>
          <w:highlight w:val="none"/>
        </w:rPr>
      </w:pPr>
    </w:p>
    <w:p w14:paraId="2CDD4F3F">
      <w:pPr>
        <w:pStyle w:val="27"/>
        <w:ind w:firstLine="883"/>
        <w:rPr>
          <w:rFonts w:ascii="宋体" w:hAnsi="宋体" w:cs="宋体"/>
          <w:b/>
          <w:bCs/>
          <w:color w:val="auto"/>
          <w:sz w:val="44"/>
          <w:szCs w:val="44"/>
          <w:highlight w:val="none"/>
        </w:rPr>
      </w:pPr>
    </w:p>
    <w:p w14:paraId="4C030F3C">
      <w:pPr>
        <w:pStyle w:val="27"/>
        <w:ind w:firstLine="883"/>
        <w:rPr>
          <w:rFonts w:ascii="宋体" w:hAnsi="宋体" w:cs="宋体"/>
          <w:b/>
          <w:bCs/>
          <w:color w:val="auto"/>
          <w:sz w:val="44"/>
          <w:szCs w:val="44"/>
          <w:highlight w:val="none"/>
        </w:rPr>
      </w:pPr>
    </w:p>
    <w:p w14:paraId="4D65DCCA">
      <w:pPr>
        <w:pStyle w:val="27"/>
        <w:ind w:firstLine="883"/>
        <w:rPr>
          <w:rFonts w:ascii="宋体" w:hAnsi="宋体" w:cs="宋体"/>
          <w:b/>
          <w:bCs/>
          <w:color w:val="auto"/>
          <w:sz w:val="44"/>
          <w:szCs w:val="44"/>
          <w:highlight w:val="none"/>
        </w:rPr>
      </w:pPr>
    </w:p>
    <w:p w14:paraId="50928CBC">
      <w:pPr>
        <w:jc w:val="center"/>
        <w:rPr>
          <w:rFonts w:ascii="宋体" w:hAnsi="宋体" w:cs="宋体"/>
          <w:color w:val="auto"/>
          <w:sz w:val="24"/>
          <w:highlight w:val="none"/>
        </w:rPr>
      </w:pPr>
      <w:r>
        <w:rPr>
          <w:rFonts w:hint="eastAsia" w:ascii="宋体" w:hAnsi="宋体" w:cs="宋体"/>
          <w:b/>
          <w:bCs/>
          <w:color w:val="auto"/>
          <w:sz w:val="44"/>
          <w:szCs w:val="44"/>
          <w:highlight w:val="none"/>
        </w:rPr>
        <w:t>目 录</w:t>
      </w:r>
    </w:p>
    <w:p w14:paraId="59C9A459">
      <w:pPr>
        <w:widowControl/>
        <w:spacing w:line="360" w:lineRule="auto"/>
        <w:jc w:val="center"/>
        <w:rPr>
          <w:rFonts w:ascii="宋体" w:hAnsi="宋体" w:cs="宋体"/>
          <w:b/>
          <w:bCs/>
          <w:color w:val="auto"/>
          <w:kern w:val="0"/>
          <w:sz w:val="28"/>
          <w:szCs w:val="28"/>
          <w:highlight w:val="none"/>
        </w:rPr>
      </w:pPr>
      <w:bookmarkStart w:id="297" w:name="_Toc31547"/>
      <w:bookmarkStart w:id="298" w:name="_Toc19099"/>
      <w:bookmarkStart w:id="299" w:name="_Toc1213"/>
      <w:bookmarkStart w:id="300" w:name="_Toc2130"/>
      <w:r>
        <w:rPr>
          <w:rFonts w:hint="eastAsia" w:ascii="宋体" w:hAnsi="宋体" w:cs="宋体"/>
          <w:color w:val="auto"/>
          <w:szCs w:val="21"/>
          <w:highlight w:val="none"/>
        </w:rPr>
        <w:t>（自拟）</w:t>
      </w:r>
      <w:r>
        <w:rPr>
          <w:rFonts w:hint="eastAsia" w:ascii="宋体" w:hAnsi="宋体" w:cs="宋体"/>
          <w:color w:val="auto"/>
          <w:szCs w:val="21"/>
          <w:highlight w:val="none"/>
        </w:rPr>
        <w:br w:type="page"/>
      </w:r>
      <w:bookmarkStart w:id="301" w:name="_Toc1921"/>
      <w:r>
        <w:rPr>
          <w:rFonts w:hint="eastAsia" w:ascii="宋体" w:hAnsi="宋体" w:cs="宋体"/>
          <w:b/>
          <w:bCs/>
          <w:color w:val="auto"/>
          <w:kern w:val="0"/>
          <w:sz w:val="28"/>
          <w:szCs w:val="28"/>
          <w:highlight w:val="none"/>
        </w:rPr>
        <w:t>一、投标函</w:t>
      </w:r>
      <w:bookmarkEnd w:id="297"/>
      <w:r>
        <w:rPr>
          <w:rFonts w:hint="eastAsia" w:ascii="宋体" w:hAnsi="宋体" w:cs="宋体"/>
          <w:b/>
          <w:bCs/>
          <w:color w:val="auto"/>
          <w:kern w:val="0"/>
          <w:sz w:val="28"/>
          <w:szCs w:val="28"/>
          <w:highlight w:val="none"/>
        </w:rPr>
        <w:t>及开标一览表</w:t>
      </w:r>
      <w:bookmarkEnd w:id="298"/>
      <w:bookmarkEnd w:id="299"/>
      <w:bookmarkEnd w:id="300"/>
      <w:bookmarkEnd w:id="301"/>
    </w:p>
    <w:p w14:paraId="2AACFDAC">
      <w:pPr>
        <w:widowControl/>
        <w:spacing w:line="360" w:lineRule="auto"/>
        <w:jc w:val="center"/>
        <w:rPr>
          <w:rFonts w:ascii="宋体" w:hAnsi="宋体" w:cs="宋体"/>
          <w:b/>
          <w:bCs/>
          <w:color w:val="auto"/>
          <w:kern w:val="0"/>
          <w:sz w:val="28"/>
          <w:szCs w:val="28"/>
          <w:highlight w:val="none"/>
        </w:rPr>
      </w:pPr>
      <w:bookmarkStart w:id="302" w:name="_Toc600"/>
      <w:bookmarkStart w:id="303" w:name="_Toc27218"/>
      <w:bookmarkStart w:id="304" w:name="_Toc12044"/>
      <w:bookmarkStart w:id="305" w:name="_Toc2605"/>
      <w:bookmarkStart w:id="306" w:name="_Toc70"/>
      <w:bookmarkStart w:id="307" w:name="_Toc28684"/>
      <w:r>
        <w:rPr>
          <w:rFonts w:hint="eastAsia" w:ascii="宋体" w:hAnsi="宋体" w:cs="宋体"/>
          <w:b/>
          <w:bCs/>
          <w:color w:val="auto"/>
          <w:kern w:val="0"/>
          <w:sz w:val="28"/>
          <w:szCs w:val="28"/>
          <w:highlight w:val="none"/>
        </w:rPr>
        <w:t>（一）投标函</w:t>
      </w:r>
      <w:bookmarkEnd w:id="302"/>
      <w:bookmarkEnd w:id="303"/>
      <w:bookmarkEnd w:id="304"/>
      <w:bookmarkEnd w:id="305"/>
      <w:bookmarkEnd w:id="306"/>
      <w:bookmarkEnd w:id="307"/>
    </w:p>
    <w:p w14:paraId="6B69F54A">
      <w:pPr>
        <w:widowControl/>
        <w:spacing w:line="360" w:lineRule="auto"/>
        <w:rPr>
          <w:rFonts w:ascii="宋体" w:hAnsi="宋体" w:cs="宋体"/>
          <w:b/>
          <w:bCs/>
          <w:color w:val="auto"/>
          <w:kern w:val="0"/>
          <w:sz w:val="28"/>
          <w:szCs w:val="28"/>
          <w:highlight w:val="none"/>
          <w:u w:val="single"/>
        </w:rPr>
      </w:pPr>
      <w:r>
        <w:rPr>
          <w:rFonts w:hint="eastAsia" w:ascii="宋体" w:hAnsi="宋体" w:cs="宋体"/>
          <w:b/>
          <w:bCs/>
          <w:color w:val="auto"/>
          <w:kern w:val="0"/>
          <w:sz w:val="28"/>
          <w:szCs w:val="28"/>
          <w:highlight w:val="none"/>
        </w:rPr>
        <w:t>致：</w:t>
      </w:r>
      <w:r>
        <w:rPr>
          <w:rFonts w:hint="eastAsia" w:ascii="宋体" w:hAnsi="宋体" w:cs="宋体"/>
          <w:b/>
          <w:bCs/>
          <w:color w:val="auto"/>
          <w:kern w:val="0"/>
          <w:sz w:val="28"/>
          <w:szCs w:val="28"/>
          <w:highlight w:val="none"/>
          <w:u w:val="single"/>
        </w:rPr>
        <w:t>（采购人名称）</w:t>
      </w:r>
    </w:p>
    <w:p w14:paraId="32D6B17B">
      <w:pPr>
        <w:pStyle w:val="26"/>
        <w:spacing w:line="360" w:lineRule="auto"/>
        <w:ind w:firstLine="480" w:firstLineChars="200"/>
        <w:rPr>
          <w:rFonts w:hint="default" w:ascii="宋体" w:hAnsi="宋体" w:eastAsia="宋体" w:cs="宋体"/>
          <w:color w:val="auto"/>
          <w:sz w:val="24"/>
          <w:highlight w:val="none"/>
        </w:rPr>
      </w:pPr>
      <w:r>
        <w:rPr>
          <w:rFonts w:ascii="宋体" w:hAnsi="宋体" w:eastAsia="宋体" w:cs="宋体"/>
          <w:color w:val="auto"/>
          <w:sz w:val="24"/>
          <w:highlight w:val="none"/>
        </w:rPr>
        <w:t>我单位已收到的</w:t>
      </w:r>
      <w:r>
        <w:rPr>
          <w:rFonts w:ascii="宋体" w:hAnsi="宋体" w:eastAsia="宋体" w:cs="宋体"/>
          <w:color w:val="auto"/>
          <w:sz w:val="24"/>
          <w:highlight w:val="none"/>
          <w:u w:val="single"/>
        </w:rPr>
        <w:t xml:space="preserve">            </w:t>
      </w:r>
      <w:r>
        <w:rPr>
          <w:rFonts w:ascii="宋体" w:hAnsi="宋体" w:eastAsia="宋体" w:cs="宋体"/>
          <w:color w:val="auto"/>
          <w:sz w:val="24"/>
          <w:highlight w:val="none"/>
        </w:rPr>
        <w:t>项目</w:t>
      </w:r>
      <w:r>
        <w:rPr>
          <w:rFonts w:hint="eastAsia" w:ascii="宋体" w:hAnsi="宋体" w:eastAsia="宋体" w:cs="宋体"/>
          <w:color w:val="auto"/>
          <w:sz w:val="24"/>
          <w:highlight w:val="none"/>
          <w:lang w:eastAsia="zh-CN"/>
        </w:rPr>
        <w:t>（</w:t>
      </w:r>
      <w:r>
        <w:rPr>
          <w:rFonts w:ascii="宋体" w:hAnsi="宋体" w:eastAsia="宋体" w:cs="宋体"/>
          <w:color w:val="auto"/>
          <w:sz w:val="24"/>
          <w:highlight w:val="none"/>
          <w:u w:val="single"/>
        </w:rPr>
        <w:t xml:space="preserve">     </w:t>
      </w:r>
      <w:r>
        <w:rPr>
          <w:rFonts w:hint="eastAsia" w:ascii="宋体" w:hAnsi="宋体" w:eastAsia="宋体" w:cs="宋体"/>
          <w:color w:val="auto"/>
          <w:sz w:val="24"/>
          <w:highlight w:val="none"/>
          <w:lang w:val="en-US" w:eastAsia="zh-CN"/>
        </w:rPr>
        <w:t>标段</w:t>
      </w:r>
      <w:r>
        <w:rPr>
          <w:rFonts w:hint="eastAsia" w:ascii="宋体" w:hAnsi="宋体" w:eastAsia="宋体" w:cs="宋体"/>
          <w:color w:val="auto"/>
          <w:sz w:val="24"/>
          <w:highlight w:val="none"/>
          <w:lang w:eastAsia="zh-CN"/>
        </w:rPr>
        <w:t>）</w:t>
      </w:r>
      <w:r>
        <w:rPr>
          <w:rFonts w:ascii="宋体" w:hAnsi="宋体" w:eastAsia="宋体" w:cs="宋体"/>
          <w:color w:val="auto"/>
          <w:sz w:val="24"/>
          <w:highlight w:val="none"/>
        </w:rPr>
        <w:t>（采购编号：</w:t>
      </w:r>
      <w:r>
        <w:rPr>
          <w:rFonts w:ascii="宋体" w:hAnsi="宋体" w:eastAsia="宋体" w:cs="宋体"/>
          <w:color w:val="auto"/>
          <w:sz w:val="24"/>
          <w:highlight w:val="none"/>
          <w:u w:val="single"/>
        </w:rPr>
        <w:t xml:space="preserve">       </w:t>
      </w:r>
      <w:r>
        <w:rPr>
          <w:rFonts w:ascii="宋体" w:hAnsi="宋体" w:eastAsia="宋体" w:cs="宋体"/>
          <w:color w:val="auto"/>
          <w:sz w:val="24"/>
          <w:highlight w:val="none"/>
        </w:rPr>
        <w:t>）采购文件及有关纪要通知，现对参与投标及中标后工作，做出如下郑重承诺：</w:t>
      </w:r>
    </w:p>
    <w:p w14:paraId="5785657E">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1、我方愿以总价为人民币（大写）</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（小写）￥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元，合同履行期限（供货及安装期）：</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，质保期：</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年，质量标准：</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none"/>
          <w:lang w:eastAsia="zh-CN"/>
        </w:rPr>
        <w:t>，</w:t>
      </w:r>
      <w:r>
        <w:rPr>
          <w:rFonts w:hint="eastAsia" w:ascii="宋体" w:hAnsi="宋体" w:cs="宋体"/>
          <w:color w:val="auto"/>
          <w:sz w:val="24"/>
          <w:highlight w:val="none"/>
        </w:rPr>
        <w:t xml:space="preserve">按合同约定实施和完成本项目。 </w:t>
      </w:r>
    </w:p>
    <w:p w14:paraId="2AE14F9B">
      <w:pPr>
        <w:widowControl/>
        <w:spacing w:line="360" w:lineRule="auto"/>
        <w:ind w:firstLine="480" w:firstLineChars="200"/>
        <w:rPr>
          <w:rFonts w:ascii="宋体" w:hAnsi="宋体" w:cs="宋体"/>
          <w:strike/>
          <w:color w:val="auto"/>
          <w:sz w:val="24"/>
          <w:highlight w:val="none"/>
        </w:rPr>
      </w:pPr>
      <w:r>
        <w:rPr>
          <w:rFonts w:hint="eastAsia" w:ascii="宋体" w:hAnsi="宋体" w:cs="宋体"/>
          <w:color w:val="auto"/>
          <w:sz w:val="24"/>
          <w:highlight w:val="none"/>
        </w:rPr>
        <w:t>2、在响应性文件递交截止时间后至确定成交人的</w:t>
      </w:r>
      <w:r>
        <w:rPr>
          <w:color w:val="auto"/>
          <w:highlight w:val="none"/>
        </w:rPr>
        <w:fldChar w:fldCharType="begin"/>
      </w:r>
      <w:r>
        <w:rPr>
          <w:color w:val="auto"/>
          <w:highlight w:val="none"/>
        </w:rPr>
        <w:instrText xml:space="preserve"> HYPERLINK "https://baike.so.com/doc/5394983-5632135.html" \t "https://baike.so.com/doc/_blank" </w:instrText>
      </w:r>
      <w:r>
        <w:rPr>
          <w:color w:val="auto"/>
          <w:highlight w:val="none"/>
        </w:rPr>
        <w:fldChar w:fldCharType="separate"/>
      </w:r>
      <w:r>
        <w:rPr>
          <w:rFonts w:hint="eastAsia" w:ascii="宋体" w:hAnsi="宋体" w:cs="宋体"/>
          <w:color w:val="auto"/>
          <w:sz w:val="24"/>
          <w:highlight w:val="none"/>
        </w:rPr>
        <w:t>投标有效期</w:t>
      </w:r>
      <w:r>
        <w:rPr>
          <w:rFonts w:hint="eastAsia" w:ascii="宋体" w:hAnsi="宋体" w:cs="宋体"/>
          <w:color w:val="auto"/>
          <w:sz w:val="24"/>
          <w:highlight w:val="none"/>
        </w:rPr>
        <w:fldChar w:fldCharType="end"/>
      </w:r>
      <w:r>
        <w:rPr>
          <w:rFonts w:hint="eastAsia" w:ascii="宋体" w:hAnsi="宋体" w:cs="宋体"/>
          <w:color w:val="auto"/>
          <w:sz w:val="24"/>
          <w:highlight w:val="none"/>
        </w:rPr>
        <w:t>内，我单位不得要求退出竞标或者修改响应性文件。</w:t>
      </w:r>
    </w:p>
    <w:p w14:paraId="757C05D8">
      <w:pPr>
        <w:widowControl/>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3、我方明白采购人不一定接纳最低投标报价的采购，也不需要采购人解释选择或否决任何供应商的原因和理由。</w:t>
      </w:r>
    </w:p>
    <w:p w14:paraId="233A1252">
      <w:pPr>
        <w:widowControl/>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我方参与本项目投标的所有资料真实有效，未在响应文件中提供虚假材料，无陪标、串标等违法行为。若相关部门查实或被不见面开标系统提示为“投标文件制作机器码一致”的，同意被视为投标无效，接受报监管部门依法作出的处理。</w:t>
      </w:r>
    </w:p>
    <w:p w14:paraId="37DCBC5F">
      <w:pPr>
        <w:spacing w:line="360" w:lineRule="auto"/>
        <w:ind w:firstLine="480" w:firstLineChars="200"/>
        <w:jc w:val="left"/>
        <w:rPr>
          <w:rFonts w:ascii="宋体" w:hAnsi="宋体" w:cs="宋体"/>
          <w:color w:val="auto"/>
          <w:highlight w:val="none"/>
        </w:rPr>
      </w:pPr>
      <w:r>
        <w:rPr>
          <w:rFonts w:hint="eastAsia" w:ascii="宋体" w:hAnsi="宋体" w:cs="宋体"/>
          <w:color w:val="auto"/>
          <w:sz w:val="24"/>
          <w:highlight w:val="none"/>
        </w:rPr>
        <w:t>5、一旦我方中标，我方在收到中标通知书后15日内，依据采购文件、响应文件与采购人签订合同。若由于我方原因在15日内因非不可抗力拒绝与采购人签订合同的，愿意接受相关部门依法作出的处罚。合同签订后严格按照合同履约，并配合采购人完成履约验收。</w:t>
      </w:r>
    </w:p>
    <w:p w14:paraId="630F6CC2">
      <w:pPr>
        <w:widowControl/>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供应商：（</w:t>
      </w:r>
      <w:r>
        <w:rPr>
          <w:rFonts w:hint="eastAsia" w:ascii="宋体" w:hAnsi="宋体" w:cs="宋体"/>
          <w:color w:val="auto"/>
          <w:sz w:val="24"/>
          <w:highlight w:val="none"/>
        </w:rPr>
        <w:t>企业电子签章</w:t>
      </w:r>
      <w:r>
        <w:rPr>
          <w:rFonts w:hint="eastAsia" w:ascii="宋体" w:hAnsi="宋体" w:cs="宋体"/>
          <w:color w:val="auto"/>
          <w:kern w:val="0"/>
          <w:sz w:val="24"/>
          <w:highlight w:val="none"/>
        </w:rPr>
        <w:t>）</w:t>
      </w:r>
    </w:p>
    <w:p w14:paraId="64569F51">
      <w:pPr>
        <w:widowControl/>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法定代表人或授权委托代理人：（签字或盖章）</w:t>
      </w:r>
    </w:p>
    <w:p w14:paraId="2E8CADC1">
      <w:pPr>
        <w:widowControl/>
        <w:spacing w:line="360" w:lineRule="auto"/>
        <w:ind w:firstLine="480" w:firstLineChars="200"/>
        <w:rPr>
          <w:rFonts w:ascii="宋体" w:hAnsi="宋体" w:cs="宋体"/>
          <w:b/>
          <w:bCs/>
          <w:color w:val="auto"/>
          <w:kern w:val="0"/>
          <w:sz w:val="32"/>
          <w:szCs w:val="32"/>
          <w:highlight w:val="none"/>
        </w:rPr>
      </w:pPr>
      <w:r>
        <w:rPr>
          <w:rFonts w:hint="eastAsia" w:ascii="宋体" w:hAnsi="宋体" w:cs="宋体"/>
          <w:color w:val="auto"/>
          <w:kern w:val="0"/>
          <w:sz w:val="24"/>
          <w:highlight w:val="none"/>
        </w:rPr>
        <w:t>年      月      日</w:t>
      </w:r>
    </w:p>
    <w:p w14:paraId="361357E7">
      <w:pPr>
        <w:spacing w:line="500" w:lineRule="exact"/>
        <w:jc w:val="center"/>
        <w:outlineLvl w:val="2"/>
        <w:rPr>
          <w:rFonts w:ascii="宋体" w:hAnsi="宋体" w:cs="宋体"/>
          <w:b/>
          <w:bCs/>
          <w:color w:val="auto"/>
          <w:sz w:val="28"/>
          <w:szCs w:val="28"/>
          <w:highlight w:val="none"/>
        </w:rPr>
      </w:pPr>
      <w:r>
        <w:rPr>
          <w:rFonts w:hint="eastAsia" w:ascii="宋体" w:hAnsi="宋体" w:cs="宋体"/>
          <w:b/>
          <w:bCs/>
          <w:color w:val="auto"/>
          <w:sz w:val="28"/>
          <w:szCs w:val="28"/>
          <w:highlight w:val="none"/>
        </w:rPr>
        <w:br w:type="page"/>
      </w:r>
      <w:bookmarkStart w:id="308" w:name="_Toc9543"/>
      <w:bookmarkStart w:id="309" w:name="_Toc20165"/>
      <w:bookmarkStart w:id="310" w:name="_Toc208"/>
      <w:bookmarkStart w:id="311" w:name="_Toc14778"/>
      <w:bookmarkStart w:id="312" w:name="_Toc31291"/>
      <w:bookmarkStart w:id="313" w:name="_Toc11230"/>
      <w:r>
        <w:rPr>
          <w:rFonts w:hint="eastAsia" w:ascii="宋体" w:hAnsi="宋体" w:cs="宋体"/>
          <w:b/>
          <w:bCs/>
          <w:color w:val="auto"/>
          <w:sz w:val="28"/>
          <w:szCs w:val="28"/>
          <w:highlight w:val="none"/>
        </w:rPr>
        <w:t>（二） 开标一览表</w:t>
      </w:r>
      <w:bookmarkEnd w:id="308"/>
      <w:bookmarkEnd w:id="309"/>
      <w:bookmarkEnd w:id="310"/>
      <w:bookmarkEnd w:id="311"/>
      <w:bookmarkEnd w:id="312"/>
      <w:bookmarkEnd w:id="313"/>
    </w:p>
    <w:p w14:paraId="702CF342">
      <w:pPr>
        <w:jc w:val="center"/>
        <w:rPr>
          <w:rFonts w:ascii="宋体" w:hAnsi="宋体" w:cs="宋体"/>
          <w:b/>
          <w:bCs/>
          <w:color w:val="auto"/>
          <w:sz w:val="28"/>
          <w:highlight w:val="none"/>
        </w:rPr>
      </w:pPr>
    </w:p>
    <w:tbl>
      <w:tblPr>
        <w:tblStyle w:val="28"/>
        <w:tblW w:w="89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48"/>
        <w:gridCol w:w="6211"/>
      </w:tblGrid>
      <w:tr w14:paraId="1CC60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6" w:hRule="atLeast"/>
          <w:jc w:val="center"/>
        </w:trPr>
        <w:tc>
          <w:tcPr>
            <w:tcW w:w="2748" w:type="dxa"/>
            <w:vAlign w:val="center"/>
          </w:tcPr>
          <w:p w14:paraId="290B1FB7">
            <w:pPr>
              <w:spacing w:line="300" w:lineRule="exact"/>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rPr>
              <w:t>项目名称</w:t>
            </w:r>
            <w:r>
              <w:rPr>
                <w:rFonts w:hint="eastAsia" w:ascii="宋体" w:hAnsi="宋体" w:cs="宋体"/>
                <w:color w:val="auto"/>
                <w:sz w:val="24"/>
                <w:highlight w:val="none"/>
                <w:lang w:val="en-US" w:eastAsia="zh-CN"/>
              </w:rPr>
              <w:t>+标段</w:t>
            </w:r>
          </w:p>
        </w:tc>
        <w:tc>
          <w:tcPr>
            <w:tcW w:w="6211" w:type="dxa"/>
            <w:vAlign w:val="center"/>
          </w:tcPr>
          <w:p w14:paraId="36CF5706">
            <w:pPr>
              <w:pStyle w:val="11"/>
              <w:spacing w:line="400" w:lineRule="exact"/>
              <w:ind w:firstLine="480"/>
              <w:rPr>
                <w:rFonts w:ascii="宋体" w:hAnsi="宋体" w:cs="宋体"/>
                <w:color w:val="auto"/>
                <w:sz w:val="24"/>
                <w:szCs w:val="20"/>
                <w:highlight w:val="none"/>
              </w:rPr>
            </w:pPr>
          </w:p>
        </w:tc>
      </w:tr>
      <w:tr w14:paraId="70DF6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2" w:hRule="atLeast"/>
          <w:jc w:val="center"/>
        </w:trPr>
        <w:tc>
          <w:tcPr>
            <w:tcW w:w="2748" w:type="dxa"/>
            <w:vAlign w:val="center"/>
          </w:tcPr>
          <w:p w14:paraId="42F19D6E">
            <w:pPr>
              <w:spacing w:line="300" w:lineRule="exact"/>
              <w:jc w:val="center"/>
              <w:rPr>
                <w:rFonts w:ascii="宋体" w:hAnsi="宋体" w:cs="宋体"/>
                <w:color w:val="auto"/>
                <w:sz w:val="24"/>
                <w:highlight w:val="none"/>
              </w:rPr>
            </w:pPr>
            <w:r>
              <w:rPr>
                <w:rFonts w:hint="eastAsia" w:ascii="宋体" w:hAnsi="宋体" w:cs="宋体"/>
                <w:color w:val="auto"/>
                <w:sz w:val="24"/>
                <w:highlight w:val="none"/>
              </w:rPr>
              <w:t>投 标 人</w:t>
            </w:r>
          </w:p>
        </w:tc>
        <w:tc>
          <w:tcPr>
            <w:tcW w:w="6211" w:type="dxa"/>
            <w:vAlign w:val="center"/>
          </w:tcPr>
          <w:p w14:paraId="0A5142E1">
            <w:pPr>
              <w:pStyle w:val="11"/>
              <w:spacing w:line="400" w:lineRule="exact"/>
              <w:ind w:firstLine="480"/>
              <w:rPr>
                <w:rFonts w:ascii="宋体" w:hAnsi="宋体" w:cs="宋体"/>
                <w:color w:val="auto"/>
                <w:sz w:val="24"/>
                <w:szCs w:val="20"/>
                <w:highlight w:val="none"/>
              </w:rPr>
            </w:pPr>
          </w:p>
        </w:tc>
      </w:tr>
      <w:tr w14:paraId="12BC6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3" w:hRule="atLeast"/>
          <w:jc w:val="center"/>
        </w:trPr>
        <w:tc>
          <w:tcPr>
            <w:tcW w:w="2748" w:type="dxa"/>
            <w:vAlign w:val="center"/>
          </w:tcPr>
          <w:p w14:paraId="5F522598">
            <w:pPr>
              <w:spacing w:line="300" w:lineRule="exact"/>
              <w:jc w:val="center"/>
              <w:rPr>
                <w:rFonts w:ascii="宋体" w:hAnsi="宋体" w:cs="宋体"/>
                <w:color w:val="auto"/>
                <w:sz w:val="24"/>
                <w:highlight w:val="none"/>
              </w:rPr>
            </w:pPr>
            <w:r>
              <w:rPr>
                <w:rFonts w:hint="eastAsia" w:ascii="宋体" w:hAnsi="宋体" w:cs="宋体"/>
                <w:color w:val="auto"/>
                <w:sz w:val="24"/>
                <w:highlight w:val="none"/>
              </w:rPr>
              <w:t>投标总报价</w:t>
            </w:r>
          </w:p>
        </w:tc>
        <w:tc>
          <w:tcPr>
            <w:tcW w:w="6211" w:type="dxa"/>
            <w:vAlign w:val="center"/>
          </w:tcPr>
          <w:p w14:paraId="6E7783BF">
            <w:pPr>
              <w:pStyle w:val="11"/>
              <w:spacing w:line="400" w:lineRule="exact"/>
              <w:ind w:left="0" w:leftChars="0" w:firstLine="0" w:firstLineChars="0"/>
              <w:rPr>
                <w:rFonts w:ascii="宋体" w:hAnsi="宋体" w:cs="宋体"/>
                <w:color w:val="auto"/>
                <w:sz w:val="24"/>
                <w:szCs w:val="20"/>
                <w:highlight w:val="none"/>
              </w:rPr>
            </w:pPr>
            <w:r>
              <w:rPr>
                <w:rFonts w:hint="eastAsia" w:ascii="宋体" w:hAnsi="宋体" w:cs="宋体"/>
                <w:color w:val="auto"/>
                <w:sz w:val="24"/>
                <w:szCs w:val="20"/>
                <w:highlight w:val="none"/>
              </w:rPr>
              <w:t xml:space="preserve">（大写）                                </w:t>
            </w:r>
          </w:p>
          <w:p w14:paraId="0D0D5C77">
            <w:pPr>
              <w:pStyle w:val="11"/>
              <w:spacing w:line="400" w:lineRule="exact"/>
              <w:ind w:left="0" w:leftChars="0" w:firstLine="0" w:firstLineChars="0"/>
              <w:rPr>
                <w:rFonts w:ascii="宋体" w:hAnsi="宋体" w:cs="宋体"/>
                <w:color w:val="auto"/>
                <w:sz w:val="24"/>
                <w:szCs w:val="20"/>
                <w:highlight w:val="none"/>
              </w:rPr>
            </w:pPr>
            <w:r>
              <w:rPr>
                <w:rFonts w:hint="eastAsia" w:ascii="宋体" w:hAnsi="宋体" w:cs="宋体"/>
                <w:color w:val="auto"/>
                <w:sz w:val="24"/>
                <w:szCs w:val="20"/>
                <w:highlight w:val="none"/>
              </w:rPr>
              <w:t xml:space="preserve">（小写）                                </w:t>
            </w:r>
          </w:p>
        </w:tc>
      </w:tr>
      <w:tr w14:paraId="17CEF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3" w:hRule="atLeast"/>
          <w:jc w:val="center"/>
        </w:trPr>
        <w:tc>
          <w:tcPr>
            <w:tcW w:w="2748" w:type="dxa"/>
            <w:vAlign w:val="center"/>
          </w:tcPr>
          <w:p w14:paraId="5D239377">
            <w:pPr>
              <w:spacing w:line="300" w:lineRule="exact"/>
              <w:jc w:val="center"/>
              <w:rPr>
                <w:rFonts w:ascii="宋体" w:hAnsi="宋体" w:cs="宋体"/>
                <w:color w:val="auto"/>
                <w:sz w:val="24"/>
                <w:highlight w:val="none"/>
              </w:rPr>
            </w:pPr>
            <w:r>
              <w:rPr>
                <w:rFonts w:hint="eastAsia" w:ascii="宋体" w:hAnsi="宋体" w:cs="宋体"/>
                <w:color w:val="auto"/>
                <w:sz w:val="24"/>
                <w:highlight w:val="none"/>
              </w:rPr>
              <w:t>质量标准</w:t>
            </w:r>
          </w:p>
        </w:tc>
        <w:tc>
          <w:tcPr>
            <w:tcW w:w="6211" w:type="dxa"/>
            <w:vAlign w:val="center"/>
          </w:tcPr>
          <w:p w14:paraId="1800A50E">
            <w:pPr>
              <w:pStyle w:val="11"/>
              <w:spacing w:line="400" w:lineRule="exact"/>
              <w:ind w:firstLine="480"/>
              <w:rPr>
                <w:rFonts w:ascii="宋体" w:hAnsi="宋体" w:cs="宋体"/>
                <w:color w:val="auto"/>
                <w:sz w:val="24"/>
                <w:szCs w:val="20"/>
                <w:highlight w:val="none"/>
              </w:rPr>
            </w:pPr>
          </w:p>
        </w:tc>
      </w:tr>
      <w:tr w14:paraId="3EE86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0" w:hRule="atLeast"/>
          <w:jc w:val="center"/>
        </w:trPr>
        <w:tc>
          <w:tcPr>
            <w:tcW w:w="2748" w:type="dxa"/>
            <w:vAlign w:val="center"/>
          </w:tcPr>
          <w:p w14:paraId="5AC391C7">
            <w:pPr>
              <w:spacing w:line="300" w:lineRule="exact"/>
              <w:jc w:val="center"/>
              <w:rPr>
                <w:rFonts w:hint="eastAsia" w:ascii="宋体" w:hAnsi="宋体" w:cs="宋体"/>
                <w:color w:val="auto"/>
                <w:sz w:val="24"/>
                <w:highlight w:val="none"/>
              </w:rPr>
            </w:pPr>
            <w:r>
              <w:rPr>
                <w:rFonts w:hint="eastAsia" w:ascii="宋体" w:hAnsi="宋体" w:cs="宋体"/>
                <w:color w:val="auto"/>
                <w:sz w:val="24"/>
                <w:highlight w:val="none"/>
              </w:rPr>
              <w:t>合同履行期限</w:t>
            </w:r>
          </w:p>
          <w:p w14:paraId="1CA0E044">
            <w:pPr>
              <w:spacing w:line="300" w:lineRule="exact"/>
              <w:jc w:val="center"/>
              <w:rPr>
                <w:rFonts w:ascii="宋体" w:hAnsi="宋体" w:cs="宋体"/>
                <w:color w:val="auto"/>
                <w:sz w:val="24"/>
                <w:highlight w:val="none"/>
              </w:rPr>
            </w:pPr>
            <w:r>
              <w:rPr>
                <w:rFonts w:hint="eastAsia" w:ascii="宋体" w:hAnsi="宋体" w:cs="宋体"/>
                <w:color w:val="auto"/>
                <w:sz w:val="24"/>
                <w:highlight w:val="none"/>
              </w:rPr>
              <w:t>（供货及安装期）</w:t>
            </w:r>
          </w:p>
        </w:tc>
        <w:tc>
          <w:tcPr>
            <w:tcW w:w="6211" w:type="dxa"/>
            <w:vAlign w:val="center"/>
          </w:tcPr>
          <w:p w14:paraId="313F0705">
            <w:pPr>
              <w:pStyle w:val="11"/>
              <w:spacing w:line="400" w:lineRule="exact"/>
              <w:ind w:firstLine="480"/>
              <w:rPr>
                <w:rFonts w:ascii="宋体" w:hAnsi="宋体" w:cs="宋体"/>
                <w:color w:val="auto"/>
                <w:sz w:val="24"/>
                <w:szCs w:val="20"/>
                <w:highlight w:val="none"/>
              </w:rPr>
            </w:pPr>
          </w:p>
        </w:tc>
      </w:tr>
      <w:tr w14:paraId="03D08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6" w:hRule="atLeast"/>
          <w:jc w:val="center"/>
        </w:trPr>
        <w:tc>
          <w:tcPr>
            <w:tcW w:w="2748" w:type="dxa"/>
            <w:vAlign w:val="center"/>
          </w:tcPr>
          <w:p w14:paraId="3BE00709">
            <w:pPr>
              <w:spacing w:line="300" w:lineRule="exact"/>
              <w:jc w:val="center"/>
              <w:rPr>
                <w:rFonts w:ascii="宋体" w:hAnsi="宋体" w:cs="宋体"/>
                <w:bCs/>
                <w:iCs/>
                <w:color w:val="auto"/>
                <w:sz w:val="24"/>
                <w:highlight w:val="none"/>
              </w:rPr>
            </w:pPr>
            <w:r>
              <w:rPr>
                <w:rFonts w:hint="eastAsia" w:ascii="宋体" w:hAnsi="宋体" w:cs="宋体"/>
                <w:bCs/>
                <w:iCs/>
                <w:color w:val="auto"/>
                <w:sz w:val="24"/>
                <w:highlight w:val="none"/>
              </w:rPr>
              <w:t>质保期</w:t>
            </w:r>
          </w:p>
        </w:tc>
        <w:tc>
          <w:tcPr>
            <w:tcW w:w="6211" w:type="dxa"/>
            <w:vAlign w:val="center"/>
          </w:tcPr>
          <w:p w14:paraId="5184908E">
            <w:pPr>
              <w:pStyle w:val="11"/>
              <w:spacing w:line="400" w:lineRule="exact"/>
              <w:ind w:firstLine="480"/>
              <w:rPr>
                <w:rFonts w:ascii="宋体" w:hAnsi="宋体" w:cs="宋体"/>
                <w:color w:val="auto"/>
                <w:sz w:val="24"/>
                <w:szCs w:val="20"/>
                <w:highlight w:val="none"/>
              </w:rPr>
            </w:pPr>
          </w:p>
        </w:tc>
      </w:tr>
      <w:tr w14:paraId="5F6AB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6" w:hRule="atLeast"/>
          <w:jc w:val="center"/>
        </w:trPr>
        <w:tc>
          <w:tcPr>
            <w:tcW w:w="2748" w:type="dxa"/>
            <w:vAlign w:val="center"/>
          </w:tcPr>
          <w:p w14:paraId="1B7ED6D7">
            <w:pPr>
              <w:spacing w:line="300" w:lineRule="exact"/>
              <w:jc w:val="center"/>
              <w:rPr>
                <w:rFonts w:ascii="宋体" w:hAnsi="宋体" w:cs="宋体"/>
                <w:bCs/>
                <w:iCs/>
                <w:color w:val="auto"/>
                <w:sz w:val="24"/>
                <w:highlight w:val="none"/>
              </w:rPr>
            </w:pPr>
            <w:r>
              <w:rPr>
                <w:rFonts w:hint="eastAsia" w:ascii="宋体" w:hAnsi="宋体" w:cs="宋体"/>
                <w:bCs/>
                <w:iCs/>
                <w:color w:val="auto"/>
                <w:sz w:val="24"/>
                <w:highlight w:val="none"/>
              </w:rPr>
              <w:t>投标有效期</w:t>
            </w:r>
          </w:p>
        </w:tc>
        <w:tc>
          <w:tcPr>
            <w:tcW w:w="6211" w:type="dxa"/>
            <w:vAlign w:val="center"/>
          </w:tcPr>
          <w:p w14:paraId="1C701199">
            <w:pPr>
              <w:pStyle w:val="11"/>
              <w:spacing w:line="400" w:lineRule="exact"/>
              <w:ind w:firstLine="480"/>
              <w:rPr>
                <w:rFonts w:ascii="宋体" w:hAnsi="宋体" w:cs="宋体"/>
                <w:color w:val="auto"/>
                <w:sz w:val="24"/>
                <w:szCs w:val="20"/>
                <w:highlight w:val="none"/>
              </w:rPr>
            </w:pPr>
          </w:p>
        </w:tc>
      </w:tr>
      <w:tr w14:paraId="0451C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6" w:hRule="atLeast"/>
          <w:jc w:val="center"/>
        </w:trPr>
        <w:tc>
          <w:tcPr>
            <w:tcW w:w="2748" w:type="dxa"/>
            <w:vAlign w:val="center"/>
          </w:tcPr>
          <w:p w14:paraId="77B9F691">
            <w:pPr>
              <w:pStyle w:val="11"/>
              <w:spacing w:line="400" w:lineRule="exact"/>
              <w:ind w:firstLine="0" w:firstLineChars="0"/>
              <w:jc w:val="center"/>
              <w:rPr>
                <w:rFonts w:hint="eastAsia" w:ascii="宋体" w:hAnsi="宋体" w:eastAsia="宋体" w:cs="宋体"/>
                <w:bCs/>
                <w:iCs/>
                <w:color w:val="auto"/>
                <w:kern w:val="2"/>
                <w:sz w:val="24"/>
                <w:szCs w:val="24"/>
                <w:highlight w:val="none"/>
                <w:lang w:val="en-US" w:eastAsia="zh-CN" w:bidi="ar-SA"/>
              </w:rPr>
            </w:pPr>
            <w:r>
              <w:rPr>
                <w:rFonts w:hint="eastAsia" w:ascii="宋体" w:hAnsi="宋体" w:eastAsia="宋体" w:cs="宋体"/>
                <w:bCs/>
                <w:iCs/>
                <w:color w:val="auto"/>
                <w:kern w:val="2"/>
                <w:sz w:val="24"/>
                <w:szCs w:val="24"/>
                <w:highlight w:val="none"/>
                <w:lang w:val="en-US" w:eastAsia="zh-CN" w:bidi="ar-SA"/>
              </w:rPr>
              <w:t>权利义务</w:t>
            </w:r>
          </w:p>
        </w:tc>
        <w:tc>
          <w:tcPr>
            <w:tcW w:w="6211" w:type="dxa"/>
            <w:vAlign w:val="center"/>
          </w:tcPr>
          <w:p w14:paraId="51AD6F94">
            <w:pPr>
              <w:pStyle w:val="11"/>
              <w:spacing w:line="400" w:lineRule="exact"/>
              <w:ind w:left="0" w:leftChars="0" w:firstLine="0" w:firstLineChars="0"/>
              <w:rPr>
                <w:rFonts w:hint="eastAsia" w:ascii="宋体" w:hAnsi="宋体" w:eastAsia="宋体" w:cs="宋体"/>
                <w:bCs/>
                <w:iCs/>
                <w:color w:val="auto"/>
                <w:kern w:val="2"/>
                <w:sz w:val="24"/>
                <w:szCs w:val="24"/>
                <w:highlight w:val="none"/>
                <w:lang w:val="en-US" w:eastAsia="zh-CN" w:bidi="ar-SA"/>
              </w:rPr>
            </w:pPr>
            <w:r>
              <w:rPr>
                <w:rFonts w:hint="eastAsia" w:ascii="宋体" w:hAnsi="宋体" w:eastAsia="宋体" w:cs="宋体"/>
                <w:bCs/>
                <w:iCs/>
                <w:color w:val="auto"/>
                <w:kern w:val="2"/>
                <w:sz w:val="24"/>
                <w:szCs w:val="24"/>
                <w:highlight w:val="none"/>
                <w:lang w:val="en-US" w:eastAsia="zh-CN" w:bidi="ar-SA"/>
              </w:rPr>
              <w:t>符合第四章“合同条款及格式”规定</w:t>
            </w:r>
          </w:p>
        </w:tc>
      </w:tr>
      <w:tr w14:paraId="60EDD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6" w:hRule="atLeast"/>
          <w:jc w:val="center"/>
        </w:trPr>
        <w:tc>
          <w:tcPr>
            <w:tcW w:w="2748" w:type="dxa"/>
            <w:vAlign w:val="center"/>
          </w:tcPr>
          <w:p w14:paraId="1339AD48">
            <w:pPr>
              <w:pStyle w:val="11"/>
              <w:spacing w:line="400" w:lineRule="exact"/>
              <w:ind w:firstLine="0" w:firstLineChars="0"/>
              <w:jc w:val="center"/>
              <w:rPr>
                <w:rFonts w:hint="eastAsia" w:ascii="宋体" w:hAnsi="宋体" w:eastAsia="宋体" w:cs="宋体"/>
                <w:bCs/>
                <w:iCs/>
                <w:color w:val="auto"/>
                <w:kern w:val="2"/>
                <w:sz w:val="24"/>
                <w:szCs w:val="24"/>
                <w:highlight w:val="none"/>
                <w:lang w:val="en-US" w:eastAsia="zh-CN" w:bidi="ar-SA"/>
              </w:rPr>
            </w:pPr>
            <w:r>
              <w:rPr>
                <w:rFonts w:hint="eastAsia" w:ascii="宋体" w:hAnsi="宋体" w:eastAsia="宋体" w:cs="宋体"/>
                <w:bCs/>
                <w:iCs/>
                <w:color w:val="auto"/>
                <w:kern w:val="2"/>
                <w:sz w:val="24"/>
                <w:szCs w:val="24"/>
                <w:highlight w:val="none"/>
                <w:lang w:val="en-US" w:eastAsia="zh-CN" w:bidi="ar-SA"/>
              </w:rPr>
              <w:t>技术标准和要求</w:t>
            </w:r>
          </w:p>
        </w:tc>
        <w:tc>
          <w:tcPr>
            <w:tcW w:w="6211" w:type="dxa"/>
            <w:vAlign w:val="center"/>
          </w:tcPr>
          <w:p w14:paraId="32DCAF34">
            <w:pPr>
              <w:pStyle w:val="11"/>
              <w:spacing w:line="400" w:lineRule="exact"/>
              <w:ind w:left="0" w:leftChars="0" w:firstLine="0" w:firstLineChars="0"/>
              <w:rPr>
                <w:rFonts w:hint="eastAsia" w:ascii="宋体" w:hAnsi="宋体" w:eastAsia="宋体" w:cs="宋体"/>
                <w:bCs/>
                <w:iCs/>
                <w:color w:val="auto"/>
                <w:kern w:val="2"/>
                <w:sz w:val="24"/>
                <w:szCs w:val="24"/>
                <w:highlight w:val="none"/>
                <w:lang w:val="en-US" w:eastAsia="zh-CN" w:bidi="ar-SA"/>
              </w:rPr>
            </w:pPr>
            <w:r>
              <w:rPr>
                <w:rFonts w:hint="eastAsia" w:ascii="宋体" w:hAnsi="宋体" w:eastAsia="宋体" w:cs="宋体"/>
                <w:bCs/>
                <w:iCs/>
                <w:color w:val="auto"/>
                <w:kern w:val="2"/>
                <w:sz w:val="24"/>
                <w:szCs w:val="24"/>
                <w:highlight w:val="none"/>
                <w:lang w:val="en-US" w:eastAsia="zh-CN" w:bidi="ar-SA"/>
              </w:rPr>
              <w:t>符合第五章“采购内容及技术要求”和“附件”规定</w:t>
            </w:r>
          </w:p>
        </w:tc>
      </w:tr>
      <w:tr w14:paraId="46FDC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6" w:hRule="atLeast"/>
          <w:jc w:val="center"/>
        </w:trPr>
        <w:tc>
          <w:tcPr>
            <w:tcW w:w="2748" w:type="dxa"/>
            <w:vAlign w:val="center"/>
          </w:tcPr>
          <w:p w14:paraId="131A5694">
            <w:pPr>
              <w:pStyle w:val="11"/>
              <w:spacing w:line="400" w:lineRule="exact"/>
              <w:ind w:firstLine="0" w:firstLineChars="0"/>
              <w:jc w:val="center"/>
              <w:rPr>
                <w:rFonts w:hint="eastAsia" w:ascii="宋体" w:hAnsi="宋体" w:eastAsia="宋体" w:cs="宋体"/>
                <w:bCs/>
                <w:iCs/>
                <w:color w:val="auto"/>
                <w:kern w:val="2"/>
                <w:sz w:val="24"/>
                <w:szCs w:val="24"/>
                <w:highlight w:val="none"/>
                <w:lang w:val="en-US" w:eastAsia="zh-CN" w:bidi="ar-SA"/>
              </w:rPr>
            </w:pPr>
            <w:r>
              <w:rPr>
                <w:rFonts w:hint="eastAsia" w:ascii="宋体" w:hAnsi="宋体" w:cs="宋体"/>
                <w:bCs/>
                <w:iCs/>
                <w:color w:val="auto"/>
                <w:kern w:val="2"/>
                <w:sz w:val="24"/>
                <w:szCs w:val="24"/>
                <w:highlight w:val="none"/>
                <w:lang w:val="en-US" w:eastAsia="zh-CN" w:bidi="ar-SA"/>
              </w:rPr>
              <w:t>付款方式</w:t>
            </w:r>
          </w:p>
        </w:tc>
        <w:tc>
          <w:tcPr>
            <w:tcW w:w="6211" w:type="dxa"/>
            <w:vAlign w:val="center"/>
          </w:tcPr>
          <w:p w14:paraId="6D709A6E">
            <w:pPr>
              <w:pStyle w:val="11"/>
              <w:spacing w:line="400" w:lineRule="exact"/>
              <w:ind w:left="0" w:leftChars="0" w:firstLine="0" w:firstLineChars="0"/>
              <w:rPr>
                <w:rFonts w:hint="eastAsia" w:ascii="宋体" w:hAnsi="宋体" w:eastAsia="宋体" w:cs="宋体"/>
                <w:bCs/>
                <w:iCs/>
                <w:color w:val="auto"/>
                <w:kern w:val="2"/>
                <w:sz w:val="24"/>
                <w:szCs w:val="24"/>
                <w:highlight w:val="none"/>
                <w:lang w:val="en-US" w:eastAsia="zh-CN" w:bidi="ar-SA"/>
              </w:rPr>
            </w:pPr>
          </w:p>
        </w:tc>
      </w:tr>
      <w:tr w14:paraId="4FBAC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6" w:hRule="atLeast"/>
          <w:jc w:val="center"/>
        </w:trPr>
        <w:tc>
          <w:tcPr>
            <w:tcW w:w="2748" w:type="dxa"/>
            <w:vAlign w:val="center"/>
          </w:tcPr>
          <w:p w14:paraId="6F3EA50E">
            <w:pPr>
              <w:pStyle w:val="11"/>
              <w:spacing w:line="400" w:lineRule="exact"/>
              <w:ind w:firstLine="0" w:firstLineChars="0"/>
              <w:jc w:val="center"/>
              <w:rPr>
                <w:rFonts w:ascii="宋体" w:hAnsi="宋体" w:cs="宋体"/>
                <w:bCs/>
                <w:iCs/>
                <w:color w:val="auto"/>
                <w:sz w:val="24"/>
                <w:highlight w:val="none"/>
              </w:rPr>
            </w:pPr>
            <w:r>
              <w:rPr>
                <w:rFonts w:hint="eastAsia" w:ascii="宋体" w:hAnsi="宋体" w:cs="宋体"/>
                <w:color w:val="auto"/>
                <w:sz w:val="24"/>
                <w:szCs w:val="20"/>
                <w:highlight w:val="none"/>
              </w:rPr>
              <w:t>备注</w:t>
            </w:r>
          </w:p>
        </w:tc>
        <w:tc>
          <w:tcPr>
            <w:tcW w:w="6211" w:type="dxa"/>
            <w:vAlign w:val="center"/>
          </w:tcPr>
          <w:p w14:paraId="379098C2">
            <w:pPr>
              <w:pStyle w:val="11"/>
              <w:spacing w:line="400" w:lineRule="exact"/>
              <w:ind w:firstLine="480"/>
              <w:rPr>
                <w:rFonts w:ascii="宋体" w:hAnsi="宋体" w:cs="宋体"/>
                <w:color w:val="auto"/>
                <w:sz w:val="24"/>
                <w:szCs w:val="20"/>
                <w:highlight w:val="none"/>
              </w:rPr>
            </w:pPr>
          </w:p>
        </w:tc>
      </w:tr>
      <w:tr w14:paraId="4960C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jc w:val="center"/>
        </w:trPr>
        <w:tc>
          <w:tcPr>
            <w:tcW w:w="8959" w:type="dxa"/>
            <w:gridSpan w:val="2"/>
            <w:vAlign w:val="center"/>
          </w:tcPr>
          <w:p w14:paraId="3FE2466D">
            <w:pPr>
              <w:pStyle w:val="11"/>
              <w:spacing w:line="400" w:lineRule="exact"/>
              <w:ind w:firstLine="480"/>
              <w:rPr>
                <w:rFonts w:ascii="宋体" w:hAnsi="宋体" w:cs="宋体"/>
                <w:color w:val="auto"/>
                <w:sz w:val="24"/>
                <w:szCs w:val="20"/>
                <w:highlight w:val="none"/>
              </w:rPr>
            </w:pPr>
          </w:p>
        </w:tc>
      </w:tr>
    </w:tbl>
    <w:p w14:paraId="4C09935C">
      <w:pPr>
        <w:rPr>
          <w:rFonts w:ascii="宋体" w:hAnsi="宋体" w:cs="宋体"/>
          <w:color w:val="auto"/>
          <w:sz w:val="24"/>
          <w:highlight w:val="none"/>
        </w:rPr>
      </w:pPr>
    </w:p>
    <w:p w14:paraId="6CEF08D4">
      <w:pPr>
        <w:ind w:firstLine="3240" w:firstLineChars="1350"/>
        <w:rPr>
          <w:rFonts w:ascii="宋体" w:hAnsi="宋体" w:cs="宋体"/>
          <w:color w:val="auto"/>
          <w:sz w:val="24"/>
          <w:highlight w:val="none"/>
        </w:rPr>
      </w:pPr>
    </w:p>
    <w:p w14:paraId="00D71F96">
      <w:pPr>
        <w:rPr>
          <w:rFonts w:ascii="宋体" w:hAnsi="宋体" w:cs="宋体"/>
          <w:color w:val="auto"/>
          <w:sz w:val="24"/>
          <w:highlight w:val="none"/>
        </w:rPr>
      </w:pPr>
      <w:r>
        <w:rPr>
          <w:rFonts w:hint="eastAsia" w:ascii="宋体" w:hAnsi="宋体" w:cs="宋体"/>
          <w:color w:val="auto"/>
          <w:sz w:val="24"/>
          <w:highlight w:val="none"/>
        </w:rPr>
        <w:t>供应商：（企业电子签章）</w:t>
      </w:r>
    </w:p>
    <w:p w14:paraId="06B474E4">
      <w:pPr>
        <w:ind w:left="1050" w:leftChars="500"/>
        <w:jc w:val="center"/>
        <w:rPr>
          <w:rFonts w:ascii="宋体" w:hAnsi="宋体" w:cs="宋体"/>
          <w:color w:val="auto"/>
          <w:sz w:val="24"/>
          <w:highlight w:val="none"/>
        </w:rPr>
      </w:pPr>
    </w:p>
    <w:p w14:paraId="75580544">
      <w:pPr>
        <w:rPr>
          <w:rFonts w:ascii="宋体" w:hAnsi="宋体" w:cs="宋体"/>
          <w:color w:val="auto"/>
          <w:sz w:val="24"/>
          <w:highlight w:val="none"/>
        </w:rPr>
      </w:pPr>
      <w:r>
        <w:rPr>
          <w:rFonts w:hint="eastAsia" w:ascii="宋体" w:hAnsi="宋体" w:cs="宋体"/>
          <w:color w:val="auto"/>
          <w:sz w:val="24"/>
          <w:highlight w:val="none"/>
        </w:rPr>
        <w:t>法定代表人</w:t>
      </w:r>
      <w:r>
        <w:rPr>
          <w:rFonts w:hint="eastAsia" w:ascii="宋体" w:hAnsi="宋体" w:cs="宋体"/>
          <w:color w:val="auto"/>
          <w:sz w:val="24"/>
          <w:szCs w:val="20"/>
          <w:highlight w:val="none"/>
        </w:rPr>
        <w:t>或其委托代理人</w:t>
      </w:r>
      <w:r>
        <w:rPr>
          <w:rFonts w:hint="eastAsia" w:ascii="宋体" w:hAnsi="宋体" w:cs="宋体"/>
          <w:color w:val="auto"/>
          <w:sz w:val="24"/>
          <w:highlight w:val="none"/>
        </w:rPr>
        <w:t>：（签字或盖章）</w:t>
      </w:r>
    </w:p>
    <w:p w14:paraId="46FB649A">
      <w:pPr>
        <w:ind w:left="1050" w:leftChars="500"/>
        <w:jc w:val="center"/>
        <w:rPr>
          <w:rFonts w:ascii="宋体" w:hAnsi="宋体" w:cs="宋体"/>
          <w:color w:val="auto"/>
          <w:sz w:val="24"/>
          <w:highlight w:val="none"/>
        </w:rPr>
      </w:pPr>
    </w:p>
    <w:p w14:paraId="62BD0A0B">
      <w:pPr>
        <w:rPr>
          <w:rFonts w:ascii="宋体" w:hAnsi="宋体" w:cs="宋体"/>
          <w:color w:val="auto"/>
          <w:sz w:val="24"/>
          <w:highlight w:val="none"/>
        </w:rPr>
      </w:pPr>
      <w:r>
        <w:rPr>
          <w:rFonts w:hint="eastAsia" w:ascii="宋体" w:hAnsi="宋体" w:cs="宋体"/>
          <w:color w:val="auto"/>
          <w:sz w:val="24"/>
          <w:highlight w:val="none"/>
        </w:rPr>
        <w:t>日  期：     年   月   日</w:t>
      </w:r>
    </w:p>
    <w:p w14:paraId="5AB43334">
      <w:pPr>
        <w:rPr>
          <w:rFonts w:ascii="宋体" w:hAnsi="宋体" w:cs="宋体"/>
          <w:color w:val="auto"/>
          <w:highlight w:val="none"/>
        </w:rPr>
      </w:pPr>
    </w:p>
    <w:p w14:paraId="017234D2">
      <w:pPr>
        <w:spacing w:line="500" w:lineRule="exact"/>
        <w:jc w:val="center"/>
        <w:outlineLvl w:val="2"/>
        <w:rPr>
          <w:rFonts w:asciiTheme="minorEastAsia" w:hAnsiTheme="minorEastAsia" w:eastAsiaTheme="minorEastAsia" w:cstheme="minorEastAsia"/>
          <w:b/>
          <w:bCs/>
          <w:color w:val="auto"/>
          <w:sz w:val="28"/>
          <w:szCs w:val="28"/>
          <w:highlight w:val="none"/>
        </w:rPr>
      </w:pPr>
      <w:bookmarkStart w:id="314" w:name="_Toc13753"/>
      <w:bookmarkStart w:id="315" w:name="_Toc20147"/>
      <w:r>
        <w:rPr>
          <w:rFonts w:hint="eastAsia" w:ascii="宋体" w:hAnsi="宋体" w:cs="宋体"/>
          <w:b/>
          <w:bCs/>
          <w:color w:val="auto"/>
          <w:sz w:val="28"/>
          <w:szCs w:val="28"/>
          <w:highlight w:val="none"/>
        </w:rPr>
        <w:t>（三）报价</w:t>
      </w:r>
      <w:bookmarkEnd w:id="314"/>
      <w:bookmarkEnd w:id="315"/>
      <w:r>
        <w:rPr>
          <w:rFonts w:hint="eastAsia" w:asciiTheme="minorEastAsia" w:hAnsiTheme="minorEastAsia" w:eastAsiaTheme="minorEastAsia" w:cstheme="minorEastAsia"/>
          <w:b/>
          <w:bCs/>
          <w:color w:val="auto"/>
          <w:sz w:val="28"/>
          <w:szCs w:val="28"/>
          <w:highlight w:val="none"/>
        </w:rPr>
        <w:t>明细表</w:t>
      </w:r>
    </w:p>
    <w:p w14:paraId="0A35F028">
      <w:pPr>
        <w:spacing w:line="440" w:lineRule="exact"/>
        <w:ind w:firstLine="308" w:firstLineChars="147"/>
        <w:rPr>
          <w:rFonts w:ascii="宋体" w:hAnsi="宋体" w:cs="宋体"/>
          <w:bCs/>
          <w:color w:val="auto"/>
          <w:szCs w:val="21"/>
          <w:highlight w:val="none"/>
        </w:rPr>
      </w:pPr>
    </w:p>
    <w:tbl>
      <w:tblPr>
        <w:tblStyle w:val="28"/>
        <w:tblW w:w="9336" w:type="dxa"/>
        <w:tblInd w:w="2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0"/>
        <w:gridCol w:w="801"/>
        <w:gridCol w:w="799"/>
        <w:gridCol w:w="1725"/>
        <w:gridCol w:w="926"/>
        <w:gridCol w:w="926"/>
        <w:gridCol w:w="926"/>
        <w:gridCol w:w="928"/>
        <w:gridCol w:w="1075"/>
      </w:tblGrid>
      <w:tr w14:paraId="4C53D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trPr>
        <w:tc>
          <w:tcPr>
            <w:tcW w:w="1230" w:type="dxa"/>
            <w:vMerge w:val="restart"/>
            <w:tcBorders>
              <w:top w:val="single" w:color="auto" w:sz="4" w:space="0"/>
              <w:left w:val="single" w:color="auto" w:sz="4" w:space="0"/>
              <w:right w:val="single" w:color="auto" w:sz="4" w:space="0"/>
            </w:tcBorders>
            <w:noWrap/>
            <w:vAlign w:val="center"/>
          </w:tcPr>
          <w:p w14:paraId="1C8232B4">
            <w:pPr>
              <w:pStyle w:val="23"/>
              <w:widowControl w:val="0"/>
              <w:adjustRightInd w:val="0"/>
              <w:spacing w:before="0" w:beforeAutospacing="0" w:after="0" w:afterAutospacing="0" w:line="240" w:lineRule="auto"/>
              <w:jc w:val="center"/>
              <w:rPr>
                <w:bCs/>
                <w:color w:val="auto"/>
                <w:highlight w:val="none"/>
              </w:rPr>
            </w:pPr>
            <w:r>
              <w:rPr>
                <w:rFonts w:hint="eastAsia"/>
                <w:bCs/>
                <w:color w:val="auto"/>
                <w:highlight w:val="none"/>
              </w:rPr>
              <w:t>名称</w:t>
            </w:r>
          </w:p>
        </w:tc>
        <w:tc>
          <w:tcPr>
            <w:tcW w:w="3325" w:type="dxa"/>
            <w:gridSpan w:val="3"/>
            <w:tcBorders>
              <w:top w:val="single" w:color="auto" w:sz="4" w:space="0"/>
              <w:left w:val="single" w:color="auto" w:sz="4" w:space="0"/>
              <w:bottom w:val="single" w:color="auto" w:sz="4" w:space="0"/>
              <w:right w:val="single" w:color="auto" w:sz="4" w:space="0"/>
            </w:tcBorders>
            <w:noWrap/>
            <w:vAlign w:val="center"/>
          </w:tcPr>
          <w:p w14:paraId="74A72EB4">
            <w:pPr>
              <w:pStyle w:val="23"/>
              <w:widowControl w:val="0"/>
              <w:adjustRightInd w:val="0"/>
              <w:spacing w:before="0" w:beforeAutospacing="0" w:after="0" w:afterAutospacing="0" w:line="240" w:lineRule="auto"/>
              <w:jc w:val="center"/>
              <w:rPr>
                <w:bCs/>
                <w:color w:val="auto"/>
                <w:highlight w:val="none"/>
              </w:rPr>
            </w:pPr>
            <w:r>
              <w:rPr>
                <w:rFonts w:hint="eastAsia"/>
                <w:bCs/>
                <w:color w:val="auto"/>
                <w:highlight w:val="none"/>
              </w:rPr>
              <w:t>所投</w:t>
            </w:r>
            <w:r>
              <w:rPr>
                <w:rFonts w:hint="eastAsia"/>
                <w:bCs/>
                <w:color w:val="auto"/>
                <w:highlight w:val="none"/>
                <w:lang w:val="en-US" w:eastAsia="zh-CN"/>
              </w:rPr>
              <w:t>货物</w:t>
            </w:r>
          </w:p>
        </w:tc>
        <w:tc>
          <w:tcPr>
            <w:tcW w:w="926" w:type="dxa"/>
            <w:vMerge w:val="restart"/>
            <w:tcBorders>
              <w:top w:val="single" w:color="auto" w:sz="4" w:space="0"/>
              <w:left w:val="single" w:color="auto" w:sz="4" w:space="0"/>
              <w:right w:val="single" w:color="auto" w:sz="4" w:space="0"/>
            </w:tcBorders>
            <w:noWrap/>
            <w:vAlign w:val="center"/>
          </w:tcPr>
          <w:p w14:paraId="1AF9F38C">
            <w:pPr>
              <w:pStyle w:val="23"/>
              <w:widowControl w:val="0"/>
              <w:adjustRightInd w:val="0"/>
              <w:spacing w:before="0" w:beforeAutospacing="0" w:after="0" w:afterAutospacing="0" w:line="240" w:lineRule="auto"/>
              <w:jc w:val="center"/>
              <w:rPr>
                <w:bCs/>
                <w:color w:val="auto"/>
                <w:highlight w:val="none"/>
              </w:rPr>
            </w:pPr>
            <w:r>
              <w:rPr>
                <w:rFonts w:hint="eastAsia"/>
                <w:bCs/>
                <w:color w:val="auto"/>
                <w:highlight w:val="none"/>
              </w:rPr>
              <w:t>单位</w:t>
            </w:r>
          </w:p>
        </w:tc>
        <w:tc>
          <w:tcPr>
            <w:tcW w:w="926" w:type="dxa"/>
            <w:vMerge w:val="restart"/>
            <w:tcBorders>
              <w:top w:val="single" w:color="auto" w:sz="4" w:space="0"/>
              <w:left w:val="single" w:color="auto" w:sz="4" w:space="0"/>
              <w:right w:val="single" w:color="auto" w:sz="4" w:space="0"/>
            </w:tcBorders>
            <w:noWrap/>
            <w:vAlign w:val="center"/>
          </w:tcPr>
          <w:p w14:paraId="63A8A3EE">
            <w:pPr>
              <w:pStyle w:val="23"/>
              <w:widowControl w:val="0"/>
              <w:adjustRightInd w:val="0"/>
              <w:spacing w:before="0" w:beforeAutospacing="0" w:after="0" w:afterAutospacing="0" w:line="240" w:lineRule="auto"/>
              <w:jc w:val="center"/>
              <w:rPr>
                <w:bCs/>
                <w:color w:val="auto"/>
                <w:highlight w:val="none"/>
              </w:rPr>
            </w:pPr>
            <w:r>
              <w:rPr>
                <w:rFonts w:hint="eastAsia"/>
                <w:bCs/>
                <w:color w:val="auto"/>
                <w:highlight w:val="none"/>
              </w:rPr>
              <w:t>数量</w:t>
            </w:r>
          </w:p>
        </w:tc>
        <w:tc>
          <w:tcPr>
            <w:tcW w:w="926" w:type="dxa"/>
            <w:vMerge w:val="restart"/>
            <w:tcBorders>
              <w:top w:val="single" w:color="auto" w:sz="4" w:space="0"/>
              <w:left w:val="single" w:color="auto" w:sz="4" w:space="0"/>
              <w:right w:val="single" w:color="auto" w:sz="4" w:space="0"/>
            </w:tcBorders>
            <w:noWrap/>
            <w:vAlign w:val="center"/>
          </w:tcPr>
          <w:p w14:paraId="617DBABF">
            <w:pPr>
              <w:pStyle w:val="23"/>
              <w:widowControl w:val="0"/>
              <w:adjustRightInd w:val="0"/>
              <w:spacing w:before="0" w:beforeAutospacing="0" w:after="0" w:afterAutospacing="0" w:line="240" w:lineRule="auto"/>
              <w:ind w:firstLine="235" w:firstLineChars="98"/>
              <w:jc w:val="center"/>
              <w:rPr>
                <w:bCs/>
                <w:color w:val="auto"/>
                <w:highlight w:val="none"/>
              </w:rPr>
            </w:pPr>
          </w:p>
          <w:p w14:paraId="574DE067">
            <w:pPr>
              <w:pStyle w:val="23"/>
              <w:widowControl w:val="0"/>
              <w:adjustRightInd w:val="0"/>
              <w:spacing w:before="0" w:beforeAutospacing="0" w:after="0" w:afterAutospacing="0" w:line="240" w:lineRule="auto"/>
              <w:jc w:val="center"/>
              <w:rPr>
                <w:bCs/>
                <w:color w:val="auto"/>
                <w:highlight w:val="none"/>
              </w:rPr>
            </w:pPr>
            <w:r>
              <w:rPr>
                <w:rFonts w:hint="eastAsia"/>
                <w:bCs/>
                <w:color w:val="auto"/>
                <w:highlight w:val="none"/>
              </w:rPr>
              <w:t>单价（元）</w:t>
            </w:r>
          </w:p>
          <w:p w14:paraId="04AE6776">
            <w:pPr>
              <w:pStyle w:val="23"/>
              <w:widowControl w:val="0"/>
              <w:adjustRightInd w:val="0"/>
              <w:spacing w:before="0" w:beforeAutospacing="0" w:after="0" w:afterAutospacing="0" w:line="240" w:lineRule="auto"/>
              <w:ind w:firstLine="235" w:firstLineChars="98"/>
              <w:jc w:val="center"/>
              <w:rPr>
                <w:bCs/>
                <w:color w:val="auto"/>
                <w:highlight w:val="none"/>
              </w:rPr>
            </w:pPr>
          </w:p>
        </w:tc>
        <w:tc>
          <w:tcPr>
            <w:tcW w:w="928" w:type="dxa"/>
            <w:vMerge w:val="restart"/>
            <w:tcBorders>
              <w:top w:val="single" w:color="auto" w:sz="4" w:space="0"/>
              <w:left w:val="single" w:color="auto" w:sz="4" w:space="0"/>
              <w:right w:val="single" w:color="auto" w:sz="4" w:space="0"/>
            </w:tcBorders>
            <w:noWrap/>
            <w:vAlign w:val="center"/>
          </w:tcPr>
          <w:p w14:paraId="09D82354">
            <w:pPr>
              <w:pStyle w:val="23"/>
              <w:widowControl w:val="0"/>
              <w:adjustRightInd w:val="0"/>
              <w:spacing w:before="0" w:beforeAutospacing="0" w:after="0" w:afterAutospacing="0" w:line="240" w:lineRule="auto"/>
              <w:jc w:val="center"/>
              <w:rPr>
                <w:bCs/>
                <w:color w:val="auto"/>
                <w:highlight w:val="none"/>
              </w:rPr>
            </w:pPr>
            <w:r>
              <w:rPr>
                <w:rFonts w:hint="eastAsia"/>
                <w:bCs/>
                <w:color w:val="auto"/>
                <w:highlight w:val="none"/>
              </w:rPr>
              <w:t>合价（元）</w:t>
            </w:r>
          </w:p>
        </w:tc>
        <w:tc>
          <w:tcPr>
            <w:tcW w:w="1075" w:type="dxa"/>
            <w:vMerge w:val="restart"/>
            <w:tcBorders>
              <w:top w:val="single" w:color="auto" w:sz="4" w:space="0"/>
              <w:left w:val="single" w:color="auto" w:sz="4" w:space="0"/>
              <w:right w:val="single" w:color="auto" w:sz="4" w:space="0"/>
            </w:tcBorders>
            <w:noWrap/>
          </w:tcPr>
          <w:p w14:paraId="6A780AE9">
            <w:pPr>
              <w:pStyle w:val="23"/>
              <w:widowControl w:val="0"/>
              <w:adjustRightInd w:val="0"/>
              <w:spacing w:before="0" w:beforeAutospacing="0" w:after="0" w:afterAutospacing="0" w:line="240" w:lineRule="auto"/>
              <w:jc w:val="center"/>
              <w:rPr>
                <w:bCs/>
                <w:color w:val="auto"/>
                <w:highlight w:val="none"/>
              </w:rPr>
            </w:pPr>
          </w:p>
          <w:p w14:paraId="35507791">
            <w:pPr>
              <w:pStyle w:val="23"/>
              <w:widowControl w:val="0"/>
              <w:adjustRightInd w:val="0"/>
              <w:spacing w:before="0" w:beforeAutospacing="0" w:after="0" w:afterAutospacing="0" w:line="240" w:lineRule="auto"/>
              <w:jc w:val="center"/>
              <w:rPr>
                <w:bCs/>
                <w:color w:val="auto"/>
                <w:highlight w:val="none"/>
              </w:rPr>
            </w:pPr>
            <w:r>
              <w:rPr>
                <w:rFonts w:hint="eastAsia"/>
                <w:bCs/>
                <w:color w:val="auto"/>
                <w:highlight w:val="none"/>
              </w:rPr>
              <w:t>执行标准</w:t>
            </w:r>
          </w:p>
        </w:tc>
      </w:tr>
      <w:tr w14:paraId="14E14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1230" w:type="dxa"/>
            <w:vMerge w:val="continue"/>
            <w:tcBorders>
              <w:left w:val="single" w:color="auto" w:sz="4" w:space="0"/>
              <w:bottom w:val="single" w:color="auto" w:sz="4" w:space="0"/>
              <w:right w:val="single" w:color="auto" w:sz="4" w:space="0"/>
            </w:tcBorders>
            <w:noWrap/>
            <w:vAlign w:val="center"/>
          </w:tcPr>
          <w:p w14:paraId="4D1E884B">
            <w:pPr>
              <w:pStyle w:val="23"/>
              <w:widowControl w:val="0"/>
              <w:adjustRightInd w:val="0"/>
              <w:spacing w:before="0" w:beforeAutospacing="0" w:after="0" w:afterAutospacing="0" w:line="240" w:lineRule="auto"/>
              <w:jc w:val="center"/>
              <w:rPr>
                <w:bCs/>
                <w:color w:val="auto"/>
                <w:highlight w:val="none"/>
              </w:rPr>
            </w:pPr>
          </w:p>
        </w:tc>
        <w:tc>
          <w:tcPr>
            <w:tcW w:w="801" w:type="dxa"/>
            <w:tcBorders>
              <w:top w:val="single" w:color="auto" w:sz="4" w:space="0"/>
              <w:left w:val="single" w:color="auto" w:sz="4" w:space="0"/>
              <w:bottom w:val="single" w:color="auto" w:sz="4" w:space="0"/>
              <w:right w:val="single" w:color="auto" w:sz="4" w:space="0"/>
            </w:tcBorders>
            <w:noWrap/>
            <w:vAlign w:val="center"/>
          </w:tcPr>
          <w:p w14:paraId="3A14738A">
            <w:pPr>
              <w:pStyle w:val="23"/>
              <w:widowControl w:val="0"/>
              <w:adjustRightInd w:val="0"/>
              <w:spacing w:before="0" w:beforeAutospacing="0" w:after="0" w:afterAutospacing="0" w:line="240" w:lineRule="auto"/>
              <w:jc w:val="center"/>
              <w:rPr>
                <w:bCs/>
                <w:color w:val="auto"/>
                <w:highlight w:val="none"/>
              </w:rPr>
            </w:pPr>
            <w:r>
              <w:rPr>
                <w:rFonts w:hint="eastAsia"/>
                <w:bCs/>
                <w:color w:val="auto"/>
                <w:highlight w:val="none"/>
              </w:rPr>
              <w:t>品牌</w:t>
            </w:r>
          </w:p>
        </w:tc>
        <w:tc>
          <w:tcPr>
            <w:tcW w:w="799" w:type="dxa"/>
            <w:tcBorders>
              <w:top w:val="single" w:color="auto" w:sz="4" w:space="0"/>
              <w:left w:val="single" w:color="auto" w:sz="4" w:space="0"/>
              <w:bottom w:val="single" w:color="auto" w:sz="4" w:space="0"/>
              <w:right w:val="single" w:color="auto" w:sz="4" w:space="0"/>
            </w:tcBorders>
            <w:noWrap/>
            <w:vAlign w:val="center"/>
          </w:tcPr>
          <w:p w14:paraId="722DEBE8">
            <w:pPr>
              <w:pStyle w:val="23"/>
              <w:widowControl w:val="0"/>
              <w:adjustRightInd w:val="0"/>
              <w:spacing w:before="0" w:beforeAutospacing="0" w:after="0" w:afterAutospacing="0" w:line="240" w:lineRule="auto"/>
              <w:jc w:val="center"/>
              <w:rPr>
                <w:bCs/>
                <w:color w:val="auto"/>
                <w:highlight w:val="none"/>
              </w:rPr>
            </w:pPr>
            <w:r>
              <w:rPr>
                <w:rFonts w:hint="eastAsia"/>
                <w:bCs/>
                <w:color w:val="auto"/>
                <w:highlight w:val="none"/>
              </w:rPr>
              <w:t>型号</w:t>
            </w:r>
          </w:p>
        </w:tc>
        <w:tc>
          <w:tcPr>
            <w:tcW w:w="1725" w:type="dxa"/>
            <w:tcBorders>
              <w:top w:val="single" w:color="auto" w:sz="4" w:space="0"/>
              <w:left w:val="single" w:color="auto" w:sz="4" w:space="0"/>
              <w:bottom w:val="single" w:color="auto" w:sz="4" w:space="0"/>
              <w:right w:val="single" w:color="auto" w:sz="4" w:space="0"/>
            </w:tcBorders>
            <w:noWrap/>
            <w:vAlign w:val="center"/>
          </w:tcPr>
          <w:p w14:paraId="71FDE624">
            <w:pPr>
              <w:pStyle w:val="23"/>
              <w:widowControl w:val="0"/>
              <w:adjustRightInd w:val="0"/>
              <w:spacing w:before="0" w:beforeAutospacing="0" w:after="0" w:afterAutospacing="0" w:line="240" w:lineRule="auto"/>
              <w:jc w:val="center"/>
              <w:rPr>
                <w:bCs/>
                <w:color w:val="auto"/>
                <w:highlight w:val="none"/>
              </w:rPr>
            </w:pPr>
            <w:r>
              <w:rPr>
                <w:rFonts w:hint="eastAsia"/>
                <w:bCs/>
                <w:color w:val="auto"/>
                <w:highlight w:val="none"/>
              </w:rPr>
              <w:t>技术参数</w:t>
            </w:r>
          </w:p>
        </w:tc>
        <w:tc>
          <w:tcPr>
            <w:tcW w:w="926" w:type="dxa"/>
            <w:vMerge w:val="continue"/>
            <w:tcBorders>
              <w:left w:val="single" w:color="auto" w:sz="4" w:space="0"/>
              <w:bottom w:val="single" w:color="auto" w:sz="4" w:space="0"/>
              <w:right w:val="single" w:color="auto" w:sz="4" w:space="0"/>
            </w:tcBorders>
            <w:noWrap/>
            <w:vAlign w:val="center"/>
          </w:tcPr>
          <w:p w14:paraId="1633F837">
            <w:pPr>
              <w:pStyle w:val="23"/>
              <w:widowControl w:val="0"/>
              <w:adjustRightInd w:val="0"/>
              <w:spacing w:before="0" w:beforeAutospacing="0" w:after="0" w:afterAutospacing="0" w:line="240" w:lineRule="auto"/>
              <w:jc w:val="center"/>
              <w:rPr>
                <w:bCs/>
                <w:color w:val="auto"/>
                <w:highlight w:val="none"/>
              </w:rPr>
            </w:pPr>
          </w:p>
        </w:tc>
        <w:tc>
          <w:tcPr>
            <w:tcW w:w="926" w:type="dxa"/>
            <w:vMerge w:val="continue"/>
            <w:tcBorders>
              <w:left w:val="single" w:color="auto" w:sz="4" w:space="0"/>
              <w:bottom w:val="single" w:color="auto" w:sz="4" w:space="0"/>
              <w:right w:val="single" w:color="auto" w:sz="4" w:space="0"/>
            </w:tcBorders>
            <w:noWrap/>
            <w:vAlign w:val="center"/>
          </w:tcPr>
          <w:p w14:paraId="70702F46">
            <w:pPr>
              <w:pStyle w:val="23"/>
              <w:widowControl w:val="0"/>
              <w:adjustRightInd w:val="0"/>
              <w:spacing w:before="0" w:beforeAutospacing="0" w:after="0" w:afterAutospacing="0" w:line="240" w:lineRule="auto"/>
              <w:jc w:val="center"/>
              <w:rPr>
                <w:bCs/>
                <w:color w:val="auto"/>
                <w:highlight w:val="none"/>
              </w:rPr>
            </w:pPr>
          </w:p>
        </w:tc>
        <w:tc>
          <w:tcPr>
            <w:tcW w:w="926" w:type="dxa"/>
            <w:vMerge w:val="continue"/>
            <w:tcBorders>
              <w:left w:val="single" w:color="auto" w:sz="4" w:space="0"/>
              <w:bottom w:val="single" w:color="auto" w:sz="4" w:space="0"/>
              <w:right w:val="single" w:color="auto" w:sz="4" w:space="0"/>
            </w:tcBorders>
            <w:noWrap/>
            <w:vAlign w:val="center"/>
          </w:tcPr>
          <w:p w14:paraId="2AD4B64D">
            <w:pPr>
              <w:pStyle w:val="23"/>
              <w:widowControl w:val="0"/>
              <w:adjustRightInd w:val="0"/>
              <w:spacing w:before="0" w:beforeAutospacing="0" w:after="0" w:afterAutospacing="0" w:line="240" w:lineRule="auto"/>
              <w:ind w:firstLine="235" w:firstLineChars="98"/>
              <w:jc w:val="center"/>
              <w:rPr>
                <w:bCs/>
                <w:color w:val="auto"/>
                <w:highlight w:val="none"/>
              </w:rPr>
            </w:pPr>
          </w:p>
        </w:tc>
        <w:tc>
          <w:tcPr>
            <w:tcW w:w="928" w:type="dxa"/>
            <w:vMerge w:val="continue"/>
            <w:tcBorders>
              <w:left w:val="single" w:color="auto" w:sz="4" w:space="0"/>
              <w:bottom w:val="single" w:color="auto" w:sz="4" w:space="0"/>
              <w:right w:val="single" w:color="auto" w:sz="4" w:space="0"/>
            </w:tcBorders>
            <w:noWrap/>
            <w:vAlign w:val="center"/>
          </w:tcPr>
          <w:p w14:paraId="1E309186">
            <w:pPr>
              <w:pStyle w:val="23"/>
              <w:widowControl w:val="0"/>
              <w:adjustRightInd w:val="0"/>
              <w:spacing w:before="0" w:beforeAutospacing="0" w:after="0" w:afterAutospacing="0" w:line="240" w:lineRule="auto"/>
              <w:jc w:val="center"/>
              <w:rPr>
                <w:bCs/>
                <w:color w:val="auto"/>
                <w:highlight w:val="none"/>
              </w:rPr>
            </w:pPr>
          </w:p>
        </w:tc>
        <w:tc>
          <w:tcPr>
            <w:tcW w:w="1075" w:type="dxa"/>
            <w:vMerge w:val="continue"/>
            <w:tcBorders>
              <w:left w:val="single" w:color="auto" w:sz="4" w:space="0"/>
              <w:bottom w:val="single" w:color="auto" w:sz="4" w:space="0"/>
              <w:right w:val="single" w:color="auto" w:sz="4" w:space="0"/>
            </w:tcBorders>
            <w:noWrap/>
          </w:tcPr>
          <w:p w14:paraId="64C9B898">
            <w:pPr>
              <w:pStyle w:val="23"/>
              <w:widowControl w:val="0"/>
              <w:adjustRightInd w:val="0"/>
              <w:spacing w:before="0" w:beforeAutospacing="0" w:after="0" w:afterAutospacing="0" w:line="240" w:lineRule="auto"/>
              <w:ind w:left="105" w:leftChars="50" w:firstLine="115" w:firstLineChars="48"/>
              <w:jc w:val="center"/>
              <w:rPr>
                <w:bCs/>
                <w:color w:val="auto"/>
                <w:highlight w:val="none"/>
              </w:rPr>
            </w:pPr>
          </w:p>
        </w:tc>
      </w:tr>
      <w:tr w14:paraId="2EE93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trPr>
        <w:tc>
          <w:tcPr>
            <w:tcW w:w="1230" w:type="dxa"/>
            <w:tcBorders>
              <w:top w:val="single" w:color="auto" w:sz="4" w:space="0"/>
              <w:left w:val="single" w:color="auto" w:sz="4" w:space="0"/>
              <w:bottom w:val="single" w:color="auto" w:sz="4" w:space="0"/>
              <w:right w:val="single" w:color="auto" w:sz="4" w:space="0"/>
            </w:tcBorders>
            <w:noWrap/>
          </w:tcPr>
          <w:p w14:paraId="67E03302">
            <w:pPr>
              <w:spacing w:line="240" w:lineRule="auto"/>
              <w:jc w:val="center"/>
              <w:rPr>
                <w:rFonts w:ascii="宋体" w:hAnsi="宋体" w:cs="宋体"/>
                <w:bCs/>
                <w:color w:val="auto"/>
                <w:sz w:val="24"/>
                <w:highlight w:val="none"/>
              </w:rPr>
            </w:pPr>
          </w:p>
        </w:tc>
        <w:tc>
          <w:tcPr>
            <w:tcW w:w="801" w:type="dxa"/>
            <w:tcBorders>
              <w:top w:val="single" w:color="auto" w:sz="4" w:space="0"/>
              <w:left w:val="single" w:color="auto" w:sz="4" w:space="0"/>
              <w:bottom w:val="single" w:color="auto" w:sz="4" w:space="0"/>
              <w:right w:val="single" w:color="auto" w:sz="4" w:space="0"/>
            </w:tcBorders>
            <w:noWrap/>
          </w:tcPr>
          <w:p w14:paraId="41EA8AE1">
            <w:pPr>
              <w:spacing w:line="240" w:lineRule="auto"/>
              <w:jc w:val="center"/>
              <w:rPr>
                <w:rFonts w:ascii="宋体" w:hAnsi="宋体" w:cs="宋体"/>
                <w:bCs/>
                <w:color w:val="auto"/>
                <w:sz w:val="24"/>
                <w:highlight w:val="none"/>
              </w:rPr>
            </w:pPr>
          </w:p>
        </w:tc>
        <w:tc>
          <w:tcPr>
            <w:tcW w:w="799" w:type="dxa"/>
            <w:tcBorders>
              <w:top w:val="single" w:color="auto" w:sz="4" w:space="0"/>
              <w:left w:val="single" w:color="auto" w:sz="4" w:space="0"/>
              <w:bottom w:val="single" w:color="auto" w:sz="4" w:space="0"/>
              <w:right w:val="single" w:color="auto" w:sz="4" w:space="0"/>
            </w:tcBorders>
            <w:noWrap/>
          </w:tcPr>
          <w:p w14:paraId="45E85E95">
            <w:pPr>
              <w:spacing w:line="240" w:lineRule="auto"/>
              <w:jc w:val="center"/>
              <w:rPr>
                <w:rFonts w:ascii="宋体" w:hAnsi="宋体" w:cs="宋体"/>
                <w:bCs/>
                <w:color w:val="auto"/>
                <w:sz w:val="24"/>
                <w:highlight w:val="none"/>
              </w:rPr>
            </w:pPr>
          </w:p>
        </w:tc>
        <w:tc>
          <w:tcPr>
            <w:tcW w:w="1725" w:type="dxa"/>
            <w:tcBorders>
              <w:top w:val="single" w:color="auto" w:sz="4" w:space="0"/>
              <w:left w:val="single" w:color="auto" w:sz="4" w:space="0"/>
              <w:bottom w:val="single" w:color="auto" w:sz="4" w:space="0"/>
              <w:right w:val="single" w:color="auto" w:sz="4" w:space="0"/>
            </w:tcBorders>
            <w:noWrap/>
          </w:tcPr>
          <w:p w14:paraId="0D138159">
            <w:pPr>
              <w:spacing w:line="240" w:lineRule="auto"/>
              <w:jc w:val="center"/>
              <w:rPr>
                <w:rFonts w:ascii="宋体" w:hAnsi="宋体" w:cs="宋体"/>
                <w:bCs/>
                <w:color w:val="auto"/>
                <w:sz w:val="24"/>
                <w:highlight w:val="none"/>
              </w:rPr>
            </w:pPr>
          </w:p>
        </w:tc>
        <w:tc>
          <w:tcPr>
            <w:tcW w:w="926" w:type="dxa"/>
            <w:tcBorders>
              <w:top w:val="single" w:color="auto" w:sz="4" w:space="0"/>
              <w:left w:val="single" w:color="auto" w:sz="4" w:space="0"/>
              <w:bottom w:val="single" w:color="auto" w:sz="4" w:space="0"/>
              <w:right w:val="single" w:color="auto" w:sz="4" w:space="0"/>
            </w:tcBorders>
            <w:noWrap/>
          </w:tcPr>
          <w:p w14:paraId="7858C4F9">
            <w:pPr>
              <w:spacing w:line="240" w:lineRule="auto"/>
              <w:jc w:val="center"/>
              <w:rPr>
                <w:rFonts w:ascii="宋体" w:hAnsi="宋体" w:cs="宋体"/>
                <w:bCs/>
                <w:color w:val="auto"/>
                <w:sz w:val="24"/>
                <w:highlight w:val="none"/>
              </w:rPr>
            </w:pPr>
          </w:p>
        </w:tc>
        <w:tc>
          <w:tcPr>
            <w:tcW w:w="926" w:type="dxa"/>
            <w:tcBorders>
              <w:top w:val="single" w:color="auto" w:sz="4" w:space="0"/>
              <w:left w:val="single" w:color="auto" w:sz="4" w:space="0"/>
              <w:bottom w:val="single" w:color="auto" w:sz="4" w:space="0"/>
              <w:right w:val="single" w:color="auto" w:sz="4" w:space="0"/>
            </w:tcBorders>
            <w:noWrap/>
          </w:tcPr>
          <w:p w14:paraId="0C1A2119">
            <w:pPr>
              <w:spacing w:line="240" w:lineRule="auto"/>
              <w:jc w:val="center"/>
              <w:rPr>
                <w:rFonts w:ascii="宋体" w:hAnsi="宋体" w:cs="宋体"/>
                <w:bCs/>
                <w:color w:val="auto"/>
                <w:sz w:val="24"/>
                <w:highlight w:val="none"/>
              </w:rPr>
            </w:pPr>
          </w:p>
        </w:tc>
        <w:tc>
          <w:tcPr>
            <w:tcW w:w="926" w:type="dxa"/>
            <w:tcBorders>
              <w:top w:val="single" w:color="auto" w:sz="4" w:space="0"/>
              <w:left w:val="single" w:color="auto" w:sz="4" w:space="0"/>
              <w:bottom w:val="single" w:color="auto" w:sz="4" w:space="0"/>
              <w:right w:val="single" w:color="auto" w:sz="4" w:space="0"/>
            </w:tcBorders>
            <w:noWrap/>
          </w:tcPr>
          <w:p w14:paraId="5B96E5EB">
            <w:pPr>
              <w:spacing w:line="240" w:lineRule="auto"/>
              <w:jc w:val="center"/>
              <w:rPr>
                <w:rFonts w:ascii="宋体" w:hAnsi="宋体" w:cs="宋体"/>
                <w:bCs/>
                <w:color w:val="auto"/>
                <w:sz w:val="24"/>
                <w:highlight w:val="none"/>
              </w:rPr>
            </w:pPr>
          </w:p>
        </w:tc>
        <w:tc>
          <w:tcPr>
            <w:tcW w:w="928" w:type="dxa"/>
            <w:tcBorders>
              <w:top w:val="single" w:color="auto" w:sz="4" w:space="0"/>
              <w:left w:val="single" w:color="auto" w:sz="4" w:space="0"/>
              <w:bottom w:val="single" w:color="auto" w:sz="4" w:space="0"/>
              <w:right w:val="single" w:color="auto" w:sz="4" w:space="0"/>
            </w:tcBorders>
            <w:noWrap/>
          </w:tcPr>
          <w:p w14:paraId="73E04D5F">
            <w:pPr>
              <w:spacing w:line="240" w:lineRule="auto"/>
              <w:jc w:val="center"/>
              <w:rPr>
                <w:rFonts w:ascii="宋体" w:hAnsi="宋体" w:cs="宋体"/>
                <w:bCs/>
                <w:color w:val="auto"/>
                <w:sz w:val="24"/>
                <w:highlight w:val="none"/>
              </w:rPr>
            </w:pPr>
          </w:p>
        </w:tc>
        <w:tc>
          <w:tcPr>
            <w:tcW w:w="1075" w:type="dxa"/>
            <w:tcBorders>
              <w:top w:val="single" w:color="auto" w:sz="4" w:space="0"/>
              <w:left w:val="single" w:color="auto" w:sz="4" w:space="0"/>
              <w:bottom w:val="single" w:color="auto" w:sz="4" w:space="0"/>
              <w:right w:val="single" w:color="auto" w:sz="4" w:space="0"/>
            </w:tcBorders>
            <w:noWrap/>
          </w:tcPr>
          <w:p w14:paraId="192F5631">
            <w:pPr>
              <w:spacing w:line="240" w:lineRule="auto"/>
              <w:jc w:val="center"/>
              <w:rPr>
                <w:rFonts w:ascii="宋体" w:hAnsi="宋体" w:cs="宋体"/>
                <w:bCs/>
                <w:color w:val="auto"/>
                <w:sz w:val="24"/>
                <w:highlight w:val="none"/>
              </w:rPr>
            </w:pPr>
            <w:r>
              <w:rPr>
                <w:rFonts w:hint="eastAsia" w:ascii="宋体" w:hAnsi="宋体" w:cs="宋体"/>
                <w:bCs/>
                <w:color w:val="auto"/>
                <w:sz w:val="24"/>
                <w:highlight w:val="none"/>
              </w:rPr>
              <w:t>如：国家/行业标准...</w:t>
            </w:r>
          </w:p>
        </w:tc>
      </w:tr>
      <w:tr w14:paraId="3FC6D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1230" w:type="dxa"/>
            <w:tcBorders>
              <w:top w:val="single" w:color="auto" w:sz="4" w:space="0"/>
              <w:left w:val="single" w:color="auto" w:sz="4" w:space="0"/>
              <w:bottom w:val="single" w:color="auto" w:sz="4" w:space="0"/>
              <w:right w:val="single" w:color="auto" w:sz="4" w:space="0"/>
            </w:tcBorders>
            <w:noWrap/>
          </w:tcPr>
          <w:p w14:paraId="4555A789">
            <w:pPr>
              <w:spacing w:line="240" w:lineRule="auto"/>
              <w:jc w:val="center"/>
              <w:rPr>
                <w:rFonts w:ascii="宋体" w:hAnsi="宋体" w:cs="宋体"/>
                <w:bCs/>
                <w:color w:val="auto"/>
                <w:sz w:val="24"/>
                <w:highlight w:val="none"/>
              </w:rPr>
            </w:pPr>
          </w:p>
        </w:tc>
        <w:tc>
          <w:tcPr>
            <w:tcW w:w="801" w:type="dxa"/>
            <w:tcBorders>
              <w:top w:val="single" w:color="auto" w:sz="4" w:space="0"/>
              <w:left w:val="single" w:color="auto" w:sz="4" w:space="0"/>
              <w:bottom w:val="single" w:color="auto" w:sz="4" w:space="0"/>
              <w:right w:val="single" w:color="auto" w:sz="4" w:space="0"/>
            </w:tcBorders>
            <w:noWrap/>
          </w:tcPr>
          <w:p w14:paraId="79C05BA3">
            <w:pPr>
              <w:spacing w:line="240" w:lineRule="auto"/>
              <w:jc w:val="center"/>
              <w:rPr>
                <w:rFonts w:ascii="宋体" w:hAnsi="宋体" w:cs="宋体"/>
                <w:bCs/>
                <w:color w:val="auto"/>
                <w:sz w:val="24"/>
                <w:highlight w:val="none"/>
              </w:rPr>
            </w:pPr>
          </w:p>
        </w:tc>
        <w:tc>
          <w:tcPr>
            <w:tcW w:w="799" w:type="dxa"/>
            <w:tcBorders>
              <w:top w:val="single" w:color="auto" w:sz="4" w:space="0"/>
              <w:left w:val="single" w:color="auto" w:sz="4" w:space="0"/>
              <w:bottom w:val="single" w:color="auto" w:sz="4" w:space="0"/>
              <w:right w:val="single" w:color="auto" w:sz="4" w:space="0"/>
            </w:tcBorders>
            <w:noWrap/>
          </w:tcPr>
          <w:p w14:paraId="0F441A2B">
            <w:pPr>
              <w:spacing w:line="240" w:lineRule="auto"/>
              <w:jc w:val="center"/>
              <w:rPr>
                <w:rFonts w:ascii="宋体" w:hAnsi="宋体" w:cs="宋体"/>
                <w:bCs/>
                <w:color w:val="auto"/>
                <w:sz w:val="24"/>
                <w:highlight w:val="none"/>
              </w:rPr>
            </w:pPr>
          </w:p>
        </w:tc>
        <w:tc>
          <w:tcPr>
            <w:tcW w:w="1725" w:type="dxa"/>
            <w:tcBorders>
              <w:top w:val="single" w:color="auto" w:sz="4" w:space="0"/>
              <w:left w:val="single" w:color="auto" w:sz="4" w:space="0"/>
              <w:bottom w:val="single" w:color="auto" w:sz="4" w:space="0"/>
              <w:right w:val="single" w:color="auto" w:sz="4" w:space="0"/>
            </w:tcBorders>
            <w:noWrap/>
          </w:tcPr>
          <w:p w14:paraId="6DBA199E">
            <w:pPr>
              <w:spacing w:line="240" w:lineRule="auto"/>
              <w:jc w:val="center"/>
              <w:rPr>
                <w:rFonts w:ascii="宋体" w:hAnsi="宋体" w:cs="宋体"/>
                <w:bCs/>
                <w:color w:val="auto"/>
                <w:sz w:val="24"/>
                <w:highlight w:val="none"/>
              </w:rPr>
            </w:pPr>
          </w:p>
        </w:tc>
        <w:tc>
          <w:tcPr>
            <w:tcW w:w="926" w:type="dxa"/>
            <w:tcBorders>
              <w:top w:val="single" w:color="auto" w:sz="4" w:space="0"/>
              <w:left w:val="single" w:color="auto" w:sz="4" w:space="0"/>
              <w:bottom w:val="single" w:color="auto" w:sz="4" w:space="0"/>
              <w:right w:val="single" w:color="auto" w:sz="4" w:space="0"/>
            </w:tcBorders>
            <w:noWrap/>
          </w:tcPr>
          <w:p w14:paraId="36B637D7">
            <w:pPr>
              <w:spacing w:line="240" w:lineRule="auto"/>
              <w:jc w:val="center"/>
              <w:rPr>
                <w:rFonts w:ascii="宋体" w:hAnsi="宋体" w:cs="宋体"/>
                <w:bCs/>
                <w:color w:val="auto"/>
                <w:sz w:val="24"/>
                <w:highlight w:val="none"/>
              </w:rPr>
            </w:pPr>
          </w:p>
        </w:tc>
        <w:tc>
          <w:tcPr>
            <w:tcW w:w="926" w:type="dxa"/>
            <w:tcBorders>
              <w:top w:val="single" w:color="auto" w:sz="4" w:space="0"/>
              <w:left w:val="single" w:color="auto" w:sz="4" w:space="0"/>
              <w:bottom w:val="single" w:color="auto" w:sz="4" w:space="0"/>
              <w:right w:val="single" w:color="auto" w:sz="4" w:space="0"/>
            </w:tcBorders>
            <w:noWrap/>
          </w:tcPr>
          <w:p w14:paraId="7F4A23DF">
            <w:pPr>
              <w:spacing w:line="240" w:lineRule="auto"/>
              <w:jc w:val="center"/>
              <w:rPr>
                <w:rFonts w:ascii="宋体" w:hAnsi="宋体" w:cs="宋体"/>
                <w:bCs/>
                <w:color w:val="auto"/>
                <w:sz w:val="24"/>
                <w:highlight w:val="none"/>
              </w:rPr>
            </w:pPr>
          </w:p>
        </w:tc>
        <w:tc>
          <w:tcPr>
            <w:tcW w:w="926" w:type="dxa"/>
            <w:tcBorders>
              <w:top w:val="single" w:color="auto" w:sz="4" w:space="0"/>
              <w:left w:val="single" w:color="auto" w:sz="4" w:space="0"/>
              <w:bottom w:val="single" w:color="auto" w:sz="4" w:space="0"/>
              <w:right w:val="single" w:color="auto" w:sz="4" w:space="0"/>
            </w:tcBorders>
            <w:noWrap/>
          </w:tcPr>
          <w:p w14:paraId="3A08D3EF">
            <w:pPr>
              <w:spacing w:line="240" w:lineRule="auto"/>
              <w:jc w:val="center"/>
              <w:rPr>
                <w:rFonts w:ascii="宋体" w:hAnsi="宋体" w:cs="宋体"/>
                <w:bCs/>
                <w:color w:val="auto"/>
                <w:sz w:val="24"/>
                <w:highlight w:val="none"/>
              </w:rPr>
            </w:pPr>
          </w:p>
        </w:tc>
        <w:tc>
          <w:tcPr>
            <w:tcW w:w="928" w:type="dxa"/>
            <w:tcBorders>
              <w:top w:val="single" w:color="auto" w:sz="4" w:space="0"/>
              <w:left w:val="single" w:color="auto" w:sz="4" w:space="0"/>
              <w:bottom w:val="single" w:color="auto" w:sz="4" w:space="0"/>
              <w:right w:val="single" w:color="auto" w:sz="4" w:space="0"/>
            </w:tcBorders>
            <w:noWrap/>
          </w:tcPr>
          <w:p w14:paraId="49E7F21F">
            <w:pPr>
              <w:spacing w:line="240" w:lineRule="auto"/>
              <w:jc w:val="center"/>
              <w:rPr>
                <w:rFonts w:ascii="宋体" w:hAnsi="宋体" w:cs="宋体"/>
                <w:bCs/>
                <w:color w:val="auto"/>
                <w:sz w:val="24"/>
                <w:highlight w:val="none"/>
              </w:rPr>
            </w:pPr>
          </w:p>
        </w:tc>
        <w:tc>
          <w:tcPr>
            <w:tcW w:w="1075" w:type="dxa"/>
            <w:tcBorders>
              <w:top w:val="single" w:color="auto" w:sz="4" w:space="0"/>
              <w:left w:val="single" w:color="auto" w:sz="4" w:space="0"/>
              <w:bottom w:val="single" w:color="auto" w:sz="4" w:space="0"/>
              <w:right w:val="single" w:color="auto" w:sz="4" w:space="0"/>
            </w:tcBorders>
            <w:noWrap/>
          </w:tcPr>
          <w:p w14:paraId="67E4753E">
            <w:pPr>
              <w:spacing w:line="240" w:lineRule="auto"/>
              <w:jc w:val="center"/>
              <w:rPr>
                <w:rFonts w:ascii="宋体" w:hAnsi="宋体" w:cs="宋体"/>
                <w:bCs/>
                <w:color w:val="auto"/>
                <w:sz w:val="24"/>
                <w:highlight w:val="none"/>
              </w:rPr>
            </w:pPr>
          </w:p>
        </w:tc>
      </w:tr>
      <w:tr w14:paraId="2A7F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1230" w:type="dxa"/>
            <w:tcBorders>
              <w:top w:val="single" w:color="auto" w:sz="4" w:space="0"/>
              <w:left w:val="single" w:color="auto" w:sz="4" w:space="0"/>
              <w:bottom w:val="single" w:color="auto" w:sz="4" w:space="0"/>
              <w:right w:val="single" w:color="auto" w:sz="4" w:space="0"/>
            </w:tcBorders>
            <w:noWrap/>
          </w:tcPr>
          <w:p w14:paraId="27FE45AC">
            <w:pPr>
              <w:spacing w:line="240" w:lineRule="auto"/>
              <w:jc w:val="center"/>
              <w:rPr>
                <w:rFonts w:ascii="宋体" w:hAnsi="宋体" w:cs="宋体"/>
                <w:bCs/>
                <w:color w:val="auto"/>
                <w:sz w:val="24"/>
                <w:highlight w:val="none"/>
              </w:rPr>
            </w:pPr>
          </w:p>
        </w:tc>
        <w:tc>
          <w:tcPr>
            <w:tcW w:w="801" w:type="dxa"/>
            <w:tcBorders>
              <w:top w:val="single" w:color="auto" w:sz="4" w:space="0"/>
              <w:left w:val="single" w:color="auto" w:sz="4" w:space="0"/>
              <w:bottom w:val="single" w:color="auto" w:sz="4" w:space="0"/>
              <w:right w:val="single" w:color="auto" w:sz="4" w:space="0"/>
            </w:tcBorders>
            <w:noWrap/>
          </w:tcPr>
          <w:p w14:paraId="53F8BF8B">
            <w:pPr>
              <w:spacing w:line="240" w:lineRule="auto"/>
              <w:jc w:val="center"/>
              <w:rPr>
                <w:rFonts w:ascii="宋体" w:hAnsi="宋体" w:cs="宋体"/>
                <w:bCs/>
                <w:color w:val="auto"/>
                <w:sz w:val="24"/>
                <w:highlight w:val="none"/>
              </w:rPr>
            </w:pPr>
          </w:p>
        </w:tc>
        <w:tc>
          <w:tcPr>
            <w:tcW w:w="799" w:type="dxa"/>
            <w:tcBorders>
              <w:top w:val="single" w:color="auto" w:sz="4" w:space="0"/>
              <w:left w:val="single" w:color="auto" w:sz="4" w:space="0"/>
              <w:bottom w:val="single" w:color="auto" w:sz="4" w:space="0"/>
              <w:right w:val="single" w:color="auto" w:sz="4" w:space="0"/>
            </w:tcBorders>
            <w:noWrap/>
          </w:tcPr>
          <w:p w14:paraId="2F0B02C8">
            <w:pPr>
              <w:spacing w:line="240" w:lineRule="auto"/>
              <w:jc w:val="center"/>
              <w:rPr>
                <w:rFonts w:ascii="宋体" w:hAnsi="宋体" w:cs="宋体"/>
                <w:bCs/>
                <w:color w:val="auto"/>
                <w:sz w:val="24"/>
                <w:highlight w:val="none"/>
              </w:rPr>
            </w:pPr>
          </w:p>
        </w:tc>
        <w:tc>
          <w:tcPr>
            <w:tcW w:w="1725" w:type="dxa"/>
            <w:tcBorders>
              <w:top w:val="single" w:color="auto" w:sz="4" w:space="0"/>
              <w:left w:val="single" w:color="auto" w:sz="4" w:space="0"/>
              <w:bottom w:val="single" w:color="auto" w:sz="4" w:space="0"/>
              <w:right w:val="single" w:color="auto" w:sz="4" w:space="0"/>
            </w:tcBorders>
            <w:noWrap/>
          </w:tcPr>
          <w:p w14:paraId="382F521F">
            <w:pPr>
              <w:spacing w:line="240" w:lineRule="auto"/>
              <w:jc w:val="center"/>
              <w:rPr>
                <w:rFonts w:ascii="宋体" w:hAnsi="宋体" w:cs="宋体"/>
                <w:bCs/>
                <w:color w:val="auto"/>
                <w:sz w:val="24"/>
                <w:highlight w:val="none"/>
              </w:rPr>
            </w:pPr>
          </w:p>
        </w:tc>
        <w:tc>
          <w:tcPr>
            <w:tcW w:w="926" w:type="dxa"/>
            <w:tcBorders>
              <w:top w:val="single" w:color="auto" w:sz="4" w:space="0"/>
              <w:left w:val="single" w:color="auto" w:sz="4" w:space="0"/>
              <w:bottom w:val="single" w:color="auto" w:sz="4" w:space="0"/>
              <w:right w:val="single" w:color="auto" w:sz="4" w:space="0"/>
            </w:tcBorders>
            <w:noWrap/>
          </w:tcPr>
          <w:p w14:paraId="34E891CD">
            <w:pPr>
              <w:spacing w:line="240" w:lineRule="auto"/>
              <w:jc w:val="center"/>
              <w:rPr>
                <w:rFonts w:ascii="宋体" w:hAnsi="宋体" w:cs="宋体"/>
                <w:bCs/>
                <w:color w:val="auto"/>
                <w:sz w:val="24"/>
                <w:highlight w:val="none"/>
              </w:rPr>
            </w:pPr>
          </w:p>
        </w:tc>
        <w:tc>
          <w:tcPr>
            <w:tcW w:w="926" w:type="dxa"/>
            <w:tcBorders>
              <w:top w:val="single" w:color="auto" w:sz="4" w:space="0"/>
              <w:left w:val="single" w:color="auto" w:sz="4" w:space="0"/>
              <w:bottom w:val="single" w:color="auto" w:sz="4" w:space="0"/>
              <w:right w:val="single" w:color="auto" w:sz="4" w:space="0"/>
            </w:tcBorders>
            <w:noWrap/>
          </w:tcPr>
          <w:p w14:paraId="171FCA91">
            <w:pPr>
              <w:spacing w:line="240" w:lineRule="auto"/>
              <w:jc w:val="center"/>
              <w:rPr>
                <w:rFonts w:ascii="宋体" w:hAnsi="宋体" w:cs="宋体"/>
                <w:bCs/>
                <w:color w:val="auto"/>
                <w:sz w:val="24"/>
                <w:highlight w:val="none"/>
              </w:rPr>
            </w:pPr>
          </w:p>
        </w:tc>
        <w:tc>
          <w:tcPr>
            <w:tcW w:w="926" w:type="dxa"/>
            <w:tcBorders>
              <w:top w:val="single" w:color="auto" w:sz="4" w:space="0"/>
              <w:left w:val="single" w:color="auto" w:sz="4" w:space="0"/>
              <w:bottom w:val="single" w:color="auto" w:sz="4" w:space="0"/>
              <w:right w:val="single" w:color="auto" w:sz="4" w:space="0"/>
            </w:tcBorders>
            <w:noWrap/>
          </w:tcPr>
          <w:p w14:paraId="6A624412">
            <w:pPr>
              <w:spacing w:line="240" w:lineRule="auto"/>
              <w:jc w:val="center"/>
              <w:rPr>
                <w:rFonts w:ascii="宋体" w:hAnsi="宋体" w:cs="宋体"/>
                <w:bCs/>
                <w:color w:val="auto"/>
                <w:sz w:val="24"/>
                <w:highlight w:val="none"/>
              </w:rPr>
            </w:pPr>
          </w:p>
        </w:tc>
        <w:tc>
          <w:tcPr>
            <w:tcW w:w="928" w:type="dxa"/>
            <w:tcBorders>
              <w:top w:val="single" w:color="auto" w:sz="4" w:space="0"/>
              <w:left w:val="single" w:color="auto" w:sz="4" w:space="0"/>
              <w:bottom w:val="single" w:color="auto" w:sz="4" w:space="0"/>
              <w:right w:val="single" w:color="auto" w:sz="4" w:space="0"/>
            </w:tcBorders>
            <w:noWrap/>
          </w:tcPr>
          <w:p w14:paraId="05CB0973">
            <w:pPr>
              <w:spacing w:line="240" w:lineRule="auto"/>
              <w:jc w:val="center"/>
              <w:rPr>
                <w:rFonts w:ascii="宋体" w:hAnsi="宋体" w:cs="宋体"/>
                <w:bCs/>
                <w:color w:val="auto"/>
                <w:sz w:val="24"/>
                <w:highlight w:val="none"/>
              </w:rPr>
            </w:pPr>
          </w:p>
        </w:tc>
        <w:tc>
          <w:tcPr>
            <w:tcW w:w="1075" w:type="dxa"/>
            <w:tcBorders>
              <w:top w:val="single" w:color="auto" w:sz="4" w:space="0"/>
              <w:left w:val="single" w:color="auto" w:sz="4" w:space="0"/>
              <w:bottom w:val="single" w:color="auto" w:sz="4" w:space="0"/>
              <w:right w:val="single" w:color="auto" w:sz="4" w:space="0"/>
            </w:tcBorders>
            <w:noWrap/>
          </w:tcPr>
          <w:p w14:paraId="7942F618">
            <w:pPr>
              <w:spacing w:line="240" w:lineRule="auto"/>
              <w:jc w:val="center"/>
              <w:rPr>
                <w:rFonts w:ascii="宋体" w:hAnsi="宋体" w:cs="宋体"/>
                <w:bCs/>
                <w:color w:val="auto"/>
                <w:sz w:val="24"/>
                <w:highlight w:val="none"/>
              </w:rPr>
            </w:pPr>
          </w:p>
        </w:tc>
      </w:tr>
      <w:tr w14:paraId="6825F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1230" w:type="dxa"/>
            <w:tcBorders>
              <w:top w:val="single" w:color="auto" w:sz="4" w:space="0"/>
              <w:left w:val="single" w:color="auto" w:sz="4" w:space="0"/>
              <w:bottom w:val="single" w:color="auto" w:sz="4" w:space="0"/>
              <w:right w:val="single" w:color="auto" w:sz="4" w:space="0"/>
            </w:tcBorders>
            <w:noWrap/>
            <w:vAlign w:val="center"/>
          </w:tcPr>
          <w:p w14:paraId="35EA9054">
            <w:pPr>
              <w:spacing w:line="240" w:lineRule="auto"/>
              <w:jc w:val="center"/>
              <w:rPr>
                <w:rFonts w:hint="default" w:ascii="宋体" w:hAnsi="宋体" w:eastAsia="宋体" w:cs="宋体"/>
                <w:bCs/>
                <w:color w:val="auto"/>
                <w:sz w:val="24"/>
                <w:highlight w:val="none"/>
                <w:lang w:val="en-US" w:eastAsia="zh-CN"/>
              </w:rPr>
            </w:pPr>
            <w:r>
              <w:rPr>
                <w:rFonts w:hint="eastAsia" w:ascii="宋体" w:hAnsi="宋体" w:cs="宋体"/>
                <w:bCs/>
                <w:color w:val="auto"/>
                <w:sz w:val="24"/>
                <w:highlight w:val="none"/>
                <w:lang w:val="en-US" w:eastAsia="zh-CN"/>
              </w:rPr>
              <w:t>......</w:t>
            </w:r>
          </w:p>
        </w:tc>
        <w:tc>
          <w:tcPr>
            <w:tcW w:w="801" w:type="dxa"/>
            <w:tcBorders>
              <w:top w:val="single" w:color="auto" w:sz="4" w:space="0"/>
              <w:left w:val="single" w:color="auto" w:sz="4" w:space="0"/>
              <w:bottom w:val="single" w:color="auto" w:sz="4" w:space="0"/>
              <w:right w:val="single" w:color="auto" w:sz="4" w:space="0"/>
            </w:tcBorders>
            <w:noWrap/>
          </w:tcPr>
          <w:p w14:paraId="68F78447">
            <w:pPr>
              <w:spacing w:line="240" w:lineRule="auto"/>
              <w:jc w:val="center"/>
              <w:rPr>
                <w:rFonts w:ascii="宋体" w:hAnsi="宋体" w:cs="宋体"/>
                <w:bCs/>
                <w:color w:val="auto"/>
                <w:sz w:val="24"/>
                <w:highlight w:val="none"/>
              </w:rPr>
            </w:pPr>
          </w:p>
        </w:tc>
        <w:tc>
          <w:tcPr>
            <w:tcW w:w="799" w:type="dxa"/>
            <w:tcBorders>
              <w:top w:val="single" w:color="auto" w:sz="4" w:space="0"/>
              <w:left w:val="single" w:color="auto" w:sz="4" w:space="0"/>
              <w:bottom w:val="single" w:color="auto" w:sz="4" w:space="0"/>
              <w:right w:val="single" w:color="auto" w:sz="4" w:space="0"/>
            </w:tcBorders>
            <w:noWrap/>
          </w:tcPr>
          <w:p w14:paraId="5406FC9F">
            <w:pPr>
              <w:spacing w:line="240" w:lineRule="auto"/>
              <w:jc w:val="center"/>
              <w:rPr>
                <w:rFonts w:ascii="宋体" w:hAnsi="宋体" w:cs="宋体"/>
                <w:bCs/>
                <w:color w:val="auto"/>
                <w:sz w:val="24"/>
                <w:highlight w:val="none"/>
              </w:rPr>
            </w:pPr>
          </w:p>
        </w:tc>
        <w:tc>
          <w:tcPr>
            <w:tcW w:w="1725" w:type="dxa"/>
            <w:tcBorders>
              <w:top w:val="single" w:color="auto" w:sz="4" w:space="0"/>
              <w:left w:val="single" w:color="auto" w:sz="4" w:space="0"/>
              <w:bottom w:val="single" w:color="auto" w:sz="4" w:space="0"/>
              <w:right w:val="single" w:color="auto" w:sz="4" w:space="0"/>
            </w:tcBorders>
            <w:noWrap/>
          </w:tcPr>
          <w:p w14:paraId="538F2BD2">
            <w:pPr>
              <w:spacing w:line="240" w:lineRule="auto"/>
              <w:jc w:val="center"/>
              <w:rPr>
                <w:rFonts w:ascii="宋体" w:hAnsi="宋体" w:cs="宋体"/>
                <w:bCs/>
                <w:color w:val="auto"/>
                <w:sz w:val="24"/>
                <w:highlight w:val="none"/>
              </w:rPr>
            </w:pPr>
          </w:p>
        </w:tc>
        <w:tc>
          <w:tcPr>
            <w:tcW w:w="926" w:type="dxa"/>
            <w:tcBorders>
              <w:top w:val="single" w:color="auto" w:sz="4" w:space="0"/>
              <w:left w:val="single" w:color="auto" w:sz="4" w:space="0"/>
              <w:bottom w:val="single" w:color="auto" w:sz="4" w:space="0"/>
              <w:right w:val="single" w:color="auto" w:sz="4" w:space="0"/>
            </w:tcBorders>
            <w:noWrap/>
          </w:tcPr>
          <w:p w14:paraId="27151B81">
            <w:pPr>
              <w:spacing w:line="240" w:lineRule="auto"/>
              <w:jc w:val="center"/>
              <w:rPr>
                <w:rFonts w:ascii="宋体" w:hAnsi="宋体" w:cs="宋体"/>
                <w:bCs/>
                <w:color w:val="auto"/>
                <w:sz w:val="24"/>
                <w:highlight w:val="none"/>
              </w:rPr>
            </w:pPr>
          </w:p>
        </w:tc>
        <w:tc>
          <w:tcPr>
            <w:tcW w:w="926" w:type="dxa"/>
            <w:tcBorders>
              <w:top w:val="single" w:color="auto" w:sz="4" w:space="0"/>
              <w:left w:val="single" w:color="auto" w:sz="4" w:space="0"/>
              <w:bottom w:val="single" w:color="auto" w:sz="4" w:space="0"/>
              <w:right w:val="single" w:color="auto" w:sz="4" w:space="0"/>
            </w:tcBorders>
            <w:noWrap/>
          </w:tcPr>
          <w:p w14:paraId="42A892A5">
            <w:pPr>
              <w:spacing w:line="240" w:lineRule="auto"/>
              <w:jc w:val="center"/>
              <w:rPr>
                <w:rFonts w:ascii="宋体" w:hAnsi="宋体" w:cs="宋体"/>
                <w:bCs/>
                <w:color w:val="auto"/>
                <w:sz w:val="24"/>
                <w:highlight w:val="none"/>
              </w:rPr>
            </w:pPr>
          </w:p>
        </w:tc>
        <w:tc>
          <w:tcPr>
            <w:tcW w:w="926" w:type="dxa"/>
            <w:tcBorders>
              <w:top w:val="single" w:color="auto" w:sz="4" w:space="0"/>
              <w:left w:val="single" w:color="auto" w:sz="4" w:space="0"/>
              <w:bottom w:val="single" w:color="auto" w:sz="4" w:space="0"/>
              <w:right w:val="single" w:color="auto" w:sz="4" w:space="0"/>
            </w:tcBorders>
            <w:noWrap/>
          </w:tcPr>
          <w:p w14:paraId="4657402E">
            <w:pPr>
              <w:spacing w:line="240" w:lineRule="auto"/>
              <w:jc w:val="center"/>
              <w:rPr>
                <w:rFonts w:ascii="宋体" w:hAnsi="宋体" w:cs="宋体"/>
                <w:bCs/>
                <w:color w:val="auto"/>
                <w:sz w:val="24"/>
                <w:highlight w:val="none"/>
              </w:rPr>
            </w:pPr>
          </w:p>
        </w:tc>
        <w:tc>
          <w:tcPr>
            <w:tcW w:w="928" w:type="dxa"/>
            <w:tcBorders>
              <w:top w:val="single" w:color="auto" w:sz="4" w:space="0"/>
              <w:left w:val="single" w:color="auto" w:sz="4" w:space="0"/>
              <w:bottom w:val="single" w:color="auto" w:sz="4" w:space="0"/>
              <w:right w:val="single" w:color="auto" w:sz="4" w:space="0"/>
            </w:tcBorders>
            <w:noWrap/>
          </w:tcPr>
          <w:p w14:paraId="47993769">
            <w:pPr>
              <w:spacing w:line="240" w:lineRule="auto"/>
              <w:jc w:val="center"/>
              <w:rPr>
                <w:rFonts w:ascii="宋体" w:hAnsi="宋体" w:cs="宋体"/>
                <w:bCs/>
                <w:color w:val="auto"/>
                <w:sz w:val="24"/>
                <w:highlight w:val="none"/>
              </w:rPr>
            </w:pPr>
          </w:p>
        </w:tc>
        <w:tc>
          <w:tcPr>
            <w:tcW w:w="1075" w:type="dxa"/>
            <w:tcBorders>
              <w:top w:val="single" w:color="auto" w:sz="4" w:space="0"/>
              <w:left w:val="single" w:color="auto" w:sz="4" w:space="0"/>
              <w:bottom w:val="single" w:color="auto" w:sz="4" w:space="0"/>
              <w:right w:val="single" w:color="auto" w:sz="4" w:space="0"/>
            </w:tcBorders>
            <w:noWrap/>
          </w:tcPr>
          <w:p w14:paraId="623B0BCE">
            <w:pPr>
              <w:spacing w:line="240" w:lineRule="auto"/>
              <w:jc w:val="center"/>
              <w:rPr>
                <w:rFonts w:ascii="宋体" w:hAnsi="宋体" w:cs="宋体"/>
                <w:bCs/>
                <w:color w:val="auto"/>
                <w:sz w:val="24"/>
                <w:highlight w:val="none"/>
              </w:rPr>
            </w:pPr>
          </w:p>
        </w:tc>
      </w:tr>
      <w:tr w14:paraId="189A6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trPr>
        <w:tc>
          <w:tcPr>
            <w:tcW w:w="1230" w:type="dxa"/>
            <w:tcBorders>
              <w:top w:val="single" w:color="auto" w:sz="4" w:space="0"/>
              <w:left w:val="single" w:color="auto" w:sz="4" w:space="0"/>
              <w:bottom w:val="single" w:color="auto" w:sz="4" w:space="0"/>
              <w:right w:val="single" w:color="auto" w:sz="4" w:space="0"/>
            </w:tcBorders>
            <w:noWrap/>
          </w:tcPr>
          <w:p w14:paraId="43CAE00F">
            <w:pPr>
              <w:spacing w:line="240" w:lineRule="auto"/>
              <w:rPr>
                <w:rFonts w:ascii="宋体" w:hAnsi="宋体" w:cs="宋体"/>
                <w:bCs/>
                <w:color w:val="auto"/>
                <w:sz w:val="24"/>
                <w:highlight w:val="none"/>
              </w:rPr>
            </w:pPr>
            <w:r>
              <w:rPr>
                <w:rFonts w:hint="eastAsia" w:ascii="宋体" w:hAnsi="宋体" w:cs="宋体"/>
                <w:bCs/>
                <w:color w:val="auto"/>
                <w:sz w:val="24"/>
                <w:highlight w:val="none"/>
              </w:rPr>
              <w:t>合计（元）</w:t>
            </w:r>
          </w:p>
        </w:tc>
        <w:tc>
          <w:tcPr>
            <w:tcW w:w="8106" w:type="dxa"/>
            <w:gridSpan w:val="8"/>
            <w:tcBorders>
              <w:top w:val="single" w:color="auto" w:sz="4" w:space="0"/>
              <w:left w:val="single" w:color="auto" w:sz="4" w:space="0"/>
              <w:bottom w:val="single" w:color="auto" w:sz="4" w:space="0"/>
              <w:right w:val="single" w:color="auto" w:sz="4" w:space="0"/>
            </w:tcBorders>
            <w:noWrap/>
          </w:tcPr>
          <w:p w14:paraId="44891B51">
            <w:pPr>
              <w:spacing w:line="240" w:lineRule="auto"/>
              <w:rPr>
                <w:rFonts w:ascii="宋体" w:hAnsi="宋体" w:cs="宋体"/>
                <w:bCs/>
                <w:color w:val="auto"/>
                <w:sz w:val="24"/>
                <w:highlight w:val="none"/>
              </w:rPr>
            </w:pPr>
            <w:r>
              <w:rPr>
                <w:rFonts w:hint="eastAsia" w:ascii="宋体" w:hAnsi="宋体" w:cs="宋体"/>
                <w:bCs/>
                <w:color w:val="auto"/>
                <w:sz w:val="24"/>
                <w:highlight w:val="none"/>
              </w:rPr>
              <w:t>大写：                                 小写：</w:t>
            </w:r>
          </w:p>
        </w:tc>
      </w:tr>
      <w:tr w14:paraId="5784D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25" w:hRule="atLeast"/>
        </w:trPr>
        <w:tc>
          <w:tcPr>
            <w:tcW w:w="9336" w:type="dxa"/>
            <w:gridSpan w:val="9"/>
            <w:tcBorders>
              <w:top w:val="single" w:color="auto" w:sz="4" w:space="0"/>
              <w:left w:val="single" w:color="auto" w:sz="4" w:space="0"/>
              <w:bottom w:val="single" w:color="auto" w:sz="4" w:space="0"/>
              <w:right w:val="single" w:color="auto" w:sz="4" w:space="0"/>
            </w:tcBorders>
            <w:noWrap/>
          </w:tcPr>
          <w:p w14:paraId="53FFAE61">
            <w:pPr>
              <w:spacing w:line="240" w:lineRule="auto"/>
              <w:rPr>
                <w:rFonts w:ascii="宋体" w:hAnsi="宋体" w:cs="宋体"/>
                <w:b/>
                <w:color w:val="auto"/>
                <w:sz w:val="24"/>
                <w:highlight w:val="none"/>
              </w:rPr>
            </w:pPr>
            <w:r>
              <w:rPr>
                <w:rFonts w:hint="eastAsia" w:ascii="宋体" w:hAnsi="宋体" w:cs="宋体"/>
                <w:b/>
                <w:color w:val="auto"/>
                <w:sz w:val="24"/>
                <w:highlight w:val="none"/>
              </w:rPr>
              <w:t>重要提示：1、本表的每一页须加盖企业印章；</w:t>
            </w:r>
          </w:p>
          <w:p w14:paraId="17B34C72">
            <w:pPr>
              <w:spacing w:line="240" w:lineRule="auto"/>
              <w:rPr>
                <w:rFonts w:ascii="宋体" w:hAnsi="宋体" w:cs="宋体"/>
                <w:bCs/>
                <w:color w:val="auto"/>
                <w:sz w:val="24"/>
                <w:highlight w:val="none"/>
              </w:rPr>
            </w:pPr>
            <w:r>
              <w:rPr>
                <w:rFonts w:hint="eastAsia" w:ascii="宋体" w:hAnsi="宋体" w:cs="宋体"/>
                <w:b/>
                <w:color w:val="auto"/>
                <w:sz w:val="24"/>
                <w:highlight w:val="none"/>
              </w:rPr>
              <w:t>2、涉及有国家标准的产品，须填写名称、品牌、型号及技术参数、报价等本表内容（若品牌、型号等填写的与实际不符，按照无效标处理）。</w:t>
            </w:r>
          </w:p>
        </w:tc>
      </w:tr>
    </w:tbl>
    <w:p w14:paraId="1F96C8D7">
      <w:pPr>
        <w:spacing w:line="480" w:lineRule="exact"/>
        <w:jc w:val="right"/>
        <w:rPr>
          <w:rFonts w:ascii="宋体" w:hAnsi="宋体" w:cs="宋体"/>
          <w:bCs/>
          <w:color w:val="auto"/>
          <w:sz w:val="24"/>
          <w:highlight w:val="none"/>
        </w:rPr>
      </w:pPr>
      <w:r>
        <w:rPr>
          <w:rFonts w:hint="eastAsia" w:ascii="宋体" w:hAnsi="宋体" w:cs="宋体"/>
          <w:bCs/>
          <w:color w:val="auto"/>
          <w:sz w:val="24"/>
          <w:highlight w:val="none"/>
        </w:rPr>
        <w:t>供应商：（</w:t>
      </w:r>
      <w:r>
        <w:rPr>
          <w:rFonts w:hint="eastAsia" w:ascii="宋体" w:hAnsi="宋体" w:cs="宋体"/>
          <w:color w:val="auto"/>
          <w:sz w:val="24"/>
          <w:highlight w:val="none"/>
        </w:rPr>
        <w:t>企业电子签章</w:t>
      </w:r>
      <w:r>
        <w:rPr>
          <w:rFonts w:hint="eastAsia" w:ascii="宋体" w:hAnsi="宋体" w:cs="宋体"/>
          <w:bCs/>
          <w:color w:val="auto"/>
          <w:sz w:val="24"/>
          <w:highlight w:val="none"/>
        </w:rPr>
        <w:t>）</w:t>
      </w:r>
    </w:p>
    <w:p w14:paraId="779048A8">
      <w:pPr>
        <w:spacing w:line="480" w:lineRule="exact"/>
        <w:jc w:val="right"/>
        <w:rPr>
          <w:rFonts w:ascii="宋体" w:hAnsi="宋体" w:cs="宋体"/>
          <w:bCs/>
          <w:color w:val="auto"/>
          <w:sz w:val="24"/>
          <w:highlight w:val="none"/>
        </w:rPr>
      </w:pPr>
      <w:r>
        <w:rPr>
          <w:rFonts w:hint="eastAsia" w:ascii="宋体" w:hAnsi="宋体" w:cs="宋体"/>
          <w:bCs/>
          <w:color w:val="auto"/>
          <w:sz w:val="24"/>
          <w:highlight w:val="none"/>
        </w:rPr>
        <w:t xml:space="preserve">     法定代表人</w:t>
      </w:r>
      <w:r>
        <w:rPr>
          <w:rFonts w:hint="eastAsia" w:ascii="宋体" w:hAnsi="宋体" w:cs="宋体"/>
          <w:bCs/>
          <w:color w:val="auto"/>
          <w:sz w:val="24"/>
          <w:szCs w:val="20"/>
          <w:highlight w:val="none"/>
        </w:rPr>
        <w:t>或其委托代理人</w:t>
      </w:r>
      <w:r>
        <w:rPr>
          <w:rFonts w:hint="eastAsia" w:ascii="宋体" w:hAnsi="宋体" w:cs="宋体"/>
          <w:bCs/>
          <w:color w:val="auto"/>
          <w:sz w:val="24"/>
          <w:highlight w:val="none"/>
        </w:rPr>
        <w:t>：（签字或盖章）</w:t>
      </w:r>
    </w:p>
    <w:p w14:paraId="78FE37B6">
      <w:pPr>
        <w:ind w:left="1050" w:leftChars="500"/>
        <w:jc w:val="right"/>
        <w:rPr>
          <w:rFonts w:hint="eastAsia" w:ascii="宋体" w:hAnsi="宋体" w:cs="宋体"/>
          <w:bCs/>
          <w:color w:val="auto"/>
          <w:sz w:val="24"/>
          <w:highlight w:val="none"/>
        </w:rPr>
      </w:pPr>
      <w:r>
        <w:rPr>
          <w:rFonts w:hint="eastAsia" w:ascii="宋体" w:hAnsi="宋体" w:cs="宋体"/>
          <w:bCs/>
          <w:color w:val="auto"/>
          <w:sz w:val="24"/>
          <w:highlight w:val="none"/>
        </w:rPr>
        <w:t xml:space="preserve">                日  期：     年   月   日</w:t>
      </w:r>
    </w:p>
    <w:p w14:paraId="46AF1559">
      <w:pPr>
        <w:pStyle w:val="26"/>
        <w:rPr>
          <w:rFonts w:hint="eastAsia" w:ascii="宋体" w:hAnsi="宋体" w:cs="宋体"/>
          <w:bCs/>
          <w:color w:val="auto"/>
          <w:sz w:val="24"/>
          <w:highlight w:val="none"/>
        </w:rPr>
      </w:pPr>
    </w:p>
    <w:p w14:paraId="152DC584">
      <w:pPr>
        <w:pStyle w:val="27"/>
        <w:rPr>
          <w:rFonts w:hint="eastAsia" w:ascii="宋体" w:hAnsi="宋体" w:cs="宋体"/>
          <w:bCs/>
          <w:color w:val="auto"/>
          <w:sz w:val="24"/>
          <w:highlight w:val="none"/>
        </w:rPr>
      </w:pPr>
    </w:p>
    <w:p w14:paraId="0BDED479">
      <w:pPr>
        <w:pStyle w:val="5"/>
        <w:rPr>
          <w:rFonts w:hint="eastAsia" w:ascii="宋体" w:hAnsi="宋体" w:cs="宋体"/>
          <w:bCs/>
          <w:color w:val="auto"/>
          <w:sz w:val="24"/>
          <w:highlight w:val="none"/>
        </w:rPr>
      </w:pPr>
    </w:p>
    <w:p w14:paraId="7AF29178">
      <w:pPr>
        <w:pStyle w:val="5"/>
        <w:rPr>
          <w:rFonts w:hint="eastAsia" w:ascii="宋体" w:hAnsi="宋体" w:cs="宋体"/>
          <w:bCs/>
          <w:color w:val="auto"/>
          <w:sz w:val="24"/>
          <w:highlight w:val="none"/>
        </w:rPr>
      </w:pPr>
    </w:p>
    <w:p w14:paraId="124BE22D">
      <w:pPr>
        <w:pStyle w:val="5"/>
        <w:rPr>
          <w:rFonts w:hint="eastAsia" w:ascii="宋体" w:hAnsi="宋体" w:cs="宋体"/>
          <w:bCs/>
          <w:color w:val="auto"/>
          <w:sz w:val="24"/>
          <w:highlight w:val="none"/>
        </w:rPr>
      </w:pPr>
    </w:p>
    <w:p w14:paraId="5FE55873">
      <w:pPr>
        <w:pStyle w:val="5"/>
        <w:rPr>
          <w:rFonts w:hint="eastAsia" w:ascii="宋体" w:hAnsi="宋体" w:cs="宋体"/>
          <w:bCs/>
          <w:color w:val="auto"/>
          <w:sz w:val="24"/>
          <w:highlight w:val="none"/>
        </w:rPr>
      </w:pPr>
    </w:p>
    <w:p w14:paraId="04C8E393">
      <w:pPr>
        <w:pStyle w:val="5"/>
        <w:rPr>
          <w:rFonts w:hint="eastAsia" w:ascii="宋体" w:hAnsi="宋体" w:cs="宋体"/>
          <w:bCs/>
          <w:color w:val="auto"/>
          <w:sz w:val="24"/>
          <w:highlight w:val="none"/>
        </w:rPr>
      </w:pPr>
    </w:p>
    <w:p w14:paraId="172FB01C">
      <w:pPr>
        <w:pStyle w:val="5"/>
        <w:rPr>
          <w:rFonts w:hint="eastAsia" w:ascii="宋体" w:hAnsi="宋体" w:cs="宋体"/>
          <w:bCs/>
          <w:color w:val="auto"/>
          <w:sz w:val="24"/>
          <w:highlight w:val="none"/>
        </w:rPr>
      </w:pPr>
    </w:p>
    <w:p w14:paraId="1AC837AD">
      <w:pPr>
        <w:pStyle w:val="6"/>
        <w:rPr>
          <w:rFonts w:hint="eastAsia" w:ascii="宋体" w:hAnsi="宋体" w:cs="宋体"/>
          <w:bCs/>
          <w:color w:val="auto"/>
          <w:sz w:val="24"/>
          <w:highlight w:val="none"/>
        </w:rPr>
      </w:pPr>
    </w:p>
    <w:p w14:paraId="24DD2D64">
      <w:pPr>
        <w:pStyle w:val="6"/>
        <w:rPr>
          <w:rFonts w:hint="eastAsia" w:ascii="宋体" w:hAnsi="宋体" w:cs="宋体"/>
          <w:bCs/>
          <w:color w:val="auto"/>
          <w:sz w:val="24"/>
          <w:highlight w:val="none"/>
        </w:rPr>
      </w:pPr>
    </w:p>
    <w:p w14:paraId="731985A7">
      <w:pPr>
        <w:pStyle w:val="6"/>
        <w:rPr>
          <w:rFonts w:hint="eastAsia" w:ascii="宋体" w:hAnsi="宋体" w:cs="宋体"/>
          <w:bCs/>
          <w:color w:val="auto"/>
          <w:sz w:val="24"/>
          <w:highlight w:val="none"/>
        </w:rPr>
      </w:pPr>
    </w:p>
    <w:p w14:paraId="1D93CD38">
      <w:pPr>
        <w:pStyle w:val="5"/>
        <w:rPr>
          <w:rFonts w:hint="eastAsia" w:ascii="宋体" w:hAnsi="宋体" w:cs="宋体"/>
          <w:bCs/>
          <w:color w:val="auto"/>
          <w:sz w:val="24"/>
          <w:highlight w:val="none"/>
        </w:rPr>
      </w:pPr>
    </w:p>
    <w:p w14:paraId="291091C0">
      <w:pPr>
        <w:pStyle w:val="5"/>
        <w:rPr>
          <w:rFonts w:hint="eastAsia" w:ascii="宋体" w:hAnsi="宋体" w:cs="宋体"/>
          <w:bCs/>
          <w:color w:val="auto"/>
          <w:sz w:val="24"/>
          <w:highlight w:val="none"/>
        </w:rPr>
      </w:pPr>
    </w:p>
    <w:p w14:paraId="4264F05F">
      <w:pPr>
        <w:pStyle w:val="5"/>
        <w:ind w:left="0" w:leftChars="0" w:firstLine="0" w:firstLineChars="0"/>
        <w:rPr>
          <w:rFonts w:hint="eastAsia" w:ascii="宋体" w:hAnsi="宋体" w:cs="宋体"/>
          <w:bCs/>
          <w:color w:val="auto"/>
          <w:sz w:val="24"/>
          <w:highlight w:val="none"/>
        </w:rPr>
      </w:pPr>
    </w:p>
    <w:p w14:paraId="69E8C019">
      <w:pPr>
        <w:autoSpaceDE w:val="0"/>
        <w:autoSpaceDN w:val="0"/>
        <w:adjustRightInd w:val="0"/>
        <w:spacing w:line="360" w:lineRule="auto"/>
        <w:jc w:val="center"/>
        <w:rPr>
          <w:rFonts w:ascii="宋体" w:hAnsi="宋体" w:cs="宋体"/>
          <w:color w:val="auto"/>
          <w:sz w:val="32"/>
          <w:highlight w:val="none"/>
        </w:rPr>
      </w:pPr>
      <w:r>
        <w:rPr>
          <w:rFonts w:hint="eastAsia" w:ascii="宋体" w:hAnsi="宋体" w:cs="宋体"/>
          <w:b/>
          <w:color w:val="auto"/>
          <w:sz w:val="30"/>
          <w:szCs w:val="30"/>
          <w:highlight w:val="none"/>
        </w:rPr>
        <w:t>（四）技术偏离表</w:t>
      </w:r>
    </w:p>
    <w:tbl>
      <w:tblPr>
        <w:tblStyle w:val="28"/>
        <w:tblW w:w="100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
        <w:gridCol w:w="2005"/>
        <w:gridCol w:w="2137"/>
        <w:gridCol w:w="2270"/>
        <w:gridCol w:w="2718"/>
      </w:tblGrid>
      <w:tr w14:paraId="101A6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jc w:val="center"/>
        </w:trPr>
        <w:tc>
          <w:tcPr>
            <w:tcW w:w="907" w:type="dxa"/>
            <w:noWrap/>
            <w:vAlign w:val="center"/>
          </w:tcPr>
          <w:p w14:paraId="4CF4B9DE">
            <w:pPr>
              <w:spacing w:line="440" w:lineRule="exact"/>
              <w:ind w:left="-141"/>
              <w:jc w:val="center"/>
              <w:rPr>
                <w:rFonts w:ascii="宋体" w:hAnsi="宋体" w:cs="宋体"/>
                <w:b/>
                <w:color w:val="auto"/>
                <w:sz w:val="24"/>
                <w:highlight w:val="none"/>
              </w:rPr>
            </w:pPr>
            <w:r>
              <w:rPr>
                <w:rFonts w:hint="eastAsia" w:ascii="宋体" w:hAnsi="宋体" w:cs="宋体"/>
                <w:b/>
                <w:color w:val="auto"/>
                <w:sz w:val="24"/>
                <w:highlight w:val="none"/>
              </w:rPr>
              <w:t>序号</w:t>
            </w:r>
          </w:p>
        </w:tc>
        <w:tc>
          <w:tcPr>
            <w:tcW w:w="2005" w:type="dxa"/>
            <w:noWrap/>
            <w:vAlign w:val="center"/>
          </w:tcPr>
          <w:p w14:paraId="2C8FD832">
            <w:pPr>
              <w:spacing w:line="440" w:lineRule="exact"/>
              <w:jc w:val="center"/>
              <w:rPr>
                <w:rFonts w:ascii="宋体" w:hAnsi="宋体" w:cs="宋体"/>
                <w:b/>
                <w:color w:val="auto"/>
                <w:sz w:val="24"/>
                <w:highlight w:val="none"/>
              </w:rPr>
            </w:pPr>
            <w:r>
              <w:rPr>
                <w:rFonts w:hint="eastAsia" w:ascii="宋体" w:hAnsi="宋体" w:cs="宋体"/>
                <w:b/>
                <w:color w:val="auto"/>
                <w:sz w:val="24"/>
                <w:highlight w:val="none"/>
              </w:rPr>
              <w:t>货物名称</w:t>
            </w:r>
          </w:p>
        </w:tc>
        <w:tc>
          <w:tcPr>
            <w:tcW w:w="2137" w:type="dxa"/>
            <w:noWrap/>
            <w:vAlign w:val="center"/>
          </w:tcPr>
          <w:p w14:paraId="37FA3467">
            <w:pPr>
              <w:spacing w:line="440" w:lineRule="exact"/>
              <w:jc w:val="center"/>
              <w:rPr>
                <w:rFonts w:ascii="宋体" w:hAnsi="宋体" w:cs="宋体"/>
                <w:b/>
                <w:color w:val="auto"/>
                <w:sz w:val="24"/>
                <w:highlight w:val="none"/>
              </w:rPr>
            </w:pPr>
            <w:r>
              <w:rPr>
                <w:rFonts w:hint="eastAsia" w:ascii="宋体" w:hAnsi="宋体" w:cs="宋体"/>
                <w:b/>
                <w:color w:val="auto"/>
                <w:sz w:val="24"/>
                <w:highlight w:val="none"/>
              </w:rPr>
              <w:t>招标技术要求</w:t>
            </w:r>
          </w:p>
        </w:tc>
        <w:tc>
          <w:tcPr>
            <w:tcW w:w="2270" w:type="dxa"/>
            <w:noWrap/>
            <w:vAlign w:val="center"/>
          </w:tcPr>
          <w:p w14:paraId="2CBB24E0">
            <w:pPr>
              <w:widowControl/>
              <w:spacing w:line="440" w:lineRule="exact"/>
              <w:jc w:val="center"/>
              <w:rPr>
                <w:rFonts w:ascii="宋体" w:hAnsi="宋体" w:cs="宋体"/>
                <w:b/>
                <w:color w:val="auto"/>
                <w:sz w:val="24"/>
                <w:highlight w:val="none"/>
              </w:rPr>
            </w:pPr>
            <w:r>
              <w:rPr>
                <w:rFonts w:hint="eastAsia" w:ascii="宋体" w:hAnsi="宋体" w:cs="宋体"/>
                <w:b/>
                <w:color w:val="auto"/>
                <w:sz w:val="24"/>
                <w:highlight w:val="none"/>
              </w:rPr>
              <w:t>投标货物实际技术规格</w:t>
            </w:r>
          </w:p>
        </w:tc>
        <w:tc>
          <w:tcPr>
            <w:tcW w:w="2718" w:type="dxa"/>
            <w:noWrap/>
            <w:vAlign w:val="center"/>
          </w:tcPr>
          <w:p w14:paraId="00FAAA2D">
            <w:pPr>
              <w:widowControl/>
              <w:spacing w:line="440" w:lineRule="exact"/>
              <w:jc w:val="center"/>
              <w:rPr>
                <w:rFonts w:ascii="宋体" w:hAnsi="宋体" w:cs="宋体"/>
                <w:b/>
                <w:color w:val="auto"/>
                <w:sz w:val="24"/>
                <w:highlight w:val="none"/>
              </w:rPr>
            </w:pPr>
            <w:r>
              <w:rPr>
                <w:rFonts w:hint="eastAsia" w:ascii="宋体" w:hAnsi="宋体" w:cs="宋体"/>
                <w:b/>
                <w:color w:val="auto"/>
                <w:sz w:val="24"/>
                <w:highlight w:val="none"/>
              </w:rPr>
              <w:t>偏离说明</w:t>
            </w:r>
          </w:p>
          <w:p w14:paraId="1ABCD3D3">
            <w:pPr>
              <w:widowControl/>
              <w:spacing w:line="440" w:lineRule="exact"/>
              <w:jc w:val="center"/>
              <w:rPr>
                <w:rFonts w:ascii="宋体" w:hAnsi="宋体" w:cs="宋体"/>
                <w:b/>
                <w:color w:val="auto"/>
                <w:sz w:val="24"/>
                <w:highlight w:val="none"/>
              </w:rPr>
            </w:pPr>
            <w:r>
              <w:rPr>
                <w:rFonts w:hint="eastAsia" w:ascii="宋体" w:hAnsi="宋体" w:cs="宋体"/>
                <w:b/>
                <w:color w:val="auto"/>
                <w:sz w:val="24"/>
                <w:highlight w:val="none"/>
              </w:rPr>
              <w:t>(说明偏离情况）</w:t>
            </w:r>
          </w:p>
        </w:tc>
      </w:tr>
      <w:tr w14:paraId="400F4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907" w:type="dxa"/>
            <w:noWrap/>
            <w:vAlign w:val="center"/>
          </w:tcPr>
          <w:p w14:paraId="740E40F5">
            <w:pPr>
              <w:spacing w:line="440" w:lineRule="exact"/>
              <w:jc w:val="center"/>
              <w:rPr>
                <w:rFonts w:ascii="宋体" w:hAnsi="宋体" w:cs="宋体"/>
                <w:bCs/>
                <w:color w:val="auto"/>
                <w:sz w:val="32"/>
                <w:highlight w:val="none"/>
              </w:rPr>
            </w:pPr>
          </w:p>
        </w:tc>
        <w:tc>
          <w:tcPr>
            <w:tcW w:w="2005" w:type="dxa"/>
            <w:noWrap/>
            <w:vAlign w:val="center"/>
          </w:tcPr>
          <w:p w14:paraId="4B373B22">
            <w:pPr>
              <w:spacing w:line="440" w:lineRule="exact"/>
              <w:jc w:val="center"/>
              <w:rPr>
                <w:rFonts w:ascii="宋体" w:hAnsi="宋体" w:cs="宋体"/>
                <w:bCs/>
                <w:color w:val="auto"/>
                <w:sz w:val="24"/>
                <w:highlight w:val="none"/>
              </w:rPr>
            </w:pPr>
          </w:p>
        </w:tc>
        <w:tc>
          <w:tcPr>
            <w:tcW w:w="2137" w:type="dxa"/>
            <w:noWrap/>
            <w:vAlign w:val="center"/>
          </w:tcPr>
          <w:p w14:paraId="43EF35A5">
            <w:pPr>
              <w:spacing w:line="440" w:lineRule="exact"/>
              <w:jc w:val="center"/>
              <w:rPr>
                <w:rFonts w:ascii="宋体" w:hAnsi="宋体" w:cs="宋体"/>
                <w:bCs/>
                <w:color w:val="auto"/>
                <w:sz w:val="24"/>
                <w:highlight w:val="none"/>
              </w:rPr>
            </w:pPr>
          </w:p>
        </w:tc>
        <w:tc>
          <w:tcPr>
            <w:tcW w:w="2270" w:type="dxa"/>
            <w:noWrap/>
            <w:vAlign w:val="center"/>
          </w:tcPr>
          <w:p w14:paraId="7997D129">
            <w:pPr>
              <w:spacing w:line="440" w:lineRule="exact"/>
              <w:jc w:val="center"/>
              <w:rPr>
                <w:rFonts w:ascii="宋体" w:hAnsi="宋体" w:cs="宋体"/>
                <w:bCs/>
                <w:color w:val="auto"/>
                <w:sz w:val="18"/>
                <w:highlight w:val="none"/>
              </w:rPr>
            </w:pPr>
          </w:p>
        </w:tc>
        <w:tc>
          <w:tcPr>
            <w:tcW w:w="2718" w:type="dxa"/>
            <w:noWrap/>
            <w:vAlign w:val="center"/>
          </w:tcPr>
          <w:p w14:paraId="3D23AD90">
            <w:pPr>
              <w:spacing w:line="440" w:lineRule="exact"/>
              <w:jc w:val="center"/>
              <w:rPr>
                <w:rFonts w:ascii="宋体" w:hAnsi="宋体" w:cs="宋体"/>
                <w:bCs/>
                <w:color w:val="auto"/>
                <w:sz w:val="18"/>
                <w:highlight w:val="none"/>
              </w:rPr>
            </w:pPr>
          </w:p>
        </w:tc>
      </w:tr>
      <w:tr w14:paraId="3F412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907" w:type="dxa"/>
            <w:noWrap/>
            <w:vAlign w:val="center"/>
          </w:tcPr>
          <w:p w14:paraId="5E157086">
            <w:pPr>
              <w:spacing w:line="440" w:lineRule="exact"/>
              <w:jc w:val="center"/>
              <w:rPr>
                <w:rFonts w:ascii="宋体" w:hAnsi="宋体" w:cs="宋体"/>
                <w:bCs/>
                <w:color w:val="auto"/>
                <w:sz w:val="32"/>
                <w:highlight w:val="none"/>
              </w:rPr>
            </w:pPr>
          </w:p>
        </w:tc>
        <w:tc>
          <w:tcPr>
            <w:tcW w:w="2005" w:type="dxa"/>
            <w:noWrap/>
            <w:vAlign w:val="center"/>
          </w:tcPr>
          <w:p w14:paraId="26C608BF">
            <w:pPr>
              <w:spacing w:line="440" w:lineRule="exact"/>
              <w:jc w:val="center"/>
              <w:rPr>
                <w:rFonts w:ascii="宋体" w:hAnsi="宋体" w:cs="宋体"/>
                <w:bCs/>
                <w:color w:val="auto"/>
                <w:sz w:val="24"/>
                <w:highlight w:val="none"/>
              </w:rPr>
            </w:pPr>
          </w:p>
        </w:tc>
        <w:tc>
          <w:tcPr>
            <w:tcW w:w="2137" w:type="dxa"/>
            <w:noWrap/>
            <w:vAlign w:val="center"/>
          </w:tcPr>
          <w:p w14:paraId="38913559">
            <w:pPr>
              <w:spacing w:line="440" w:lineRule="exact"/>
              <w:jc w:val="center"/>
              <w:rPr>
                <w:rFonts w:ascii="宋体" w:hAnsi="宋体" w:cs="宋体"/>
                <w:bCs/>
                <w:color w:val="auto"/>
                <w:sz w:val="24"/>
                <w:highlight w:val="none"/>
              </w:rPr>
            </w:pPr>
          </w:p>
        </w:tc>
        <w:tc>
          <w:tcPr>
            <w:tcW w:w="2270" w:type="dxa"/>
            <w:noWrap/>
            <w:vAlign w:val="center"/>
          </w:tcPr>
          <w:p w14:paraId="22D9A2E9">
            <w:pPr>
              <w:spacing w:line="440" w:lineRule="exact"/>
              <w:jc w:val="center"/>
              <w:rPr>
                <w:rFonts w:ascii="宋体" w:hAnsi="宋体" w:cs="宋体"/>
                <w:bCs/>
                <w:color w:val="auto"/>
                <w:sz w:val="18"/>
                <w:highlight w:val="none"/>
              </w:rPr>
            </w:pPr>
          </w:p>
        </w:tc>
        <w:tc>
          <w:tcPr>
            <w:tcW w:w="2718" w:type="dxa"/>
            <w:noWrap/>
            <w:vAlign w:val="center"/>
          </w:tcPr>
          <w:p w14:paraId="52D1B2F4">
            <w:pPr>
              <w:spacing w:line="440" w:lineRule="exact"/>
              <w:jc w:val="center"/>
              <w:rPr>
                <w:rFonts w:ascii="宋体" w:hAnsi="宋体" w:cs="宋体"/>
                <w:bCs/>
                <w:color w:val="auto"/>
                <w:sz w:val="18"/>
                <w:highlight w:val="none"/>
              </w:rPr>
            </w:pPr>
          </w:p>
        </w:tc>
      </w:tr>
      <w:tr w14:paraId="1637F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907" w:type="dxa"/>
            <w:noWrap/>
            <w:vAlign w:val="center"/>
          </w:tcPr>
          <w:p w14:paraId="17BCCFCB">
            <w:pPr>
              <w:spacing w:line="440" w:lineRule="exact"/>
              <w:jc w:val="center"/>
              <w:rPr>
                <w:rFonts w:ascii="宋体" w:hAnsi="宋体" w:cs="宋体"/>
                <w:bCs/>
                <w:color w:val="auto"/>
                <w:sz w:val="32"/>
                <w:highlight w:val="none"/>
              </w:rPr>
            </w:pPr>
          </w:p>
        </w:tc>
        <w:tc>
          <w:tcPr>
            <w:tcW w:w="2005" w:type="dxa"/>
            <w:noWrap/>
            <w:vAlign w:val="center"/>
          </w:tcPr>
          <w:p w14:paraId="2826FC0E">
            <w:pPr>
              <w:spacing w:line="440" w:lineRule="exact"/>
              <w:jc w:val="center"/>
              <w:rPr>
                <w:rFonts w:ascii="宋体" w:hAnsi="宋体" w:cs="宋体"/>
                <w:bCs/>
                <w:color w:val="auto"/>
                <w:sz w:val="24"/>
                <w:highlight w:val="none"/>
              </w:rPr>
            </w:pPr>
          </w:p>
        </w:tc>
        <w:tc>
          <w:tcPr>
            <w:tcW w:w="2137" w:type="dxa"/>
            <w:noWrap/>
            <w:vAlign w:val="center"/>
          </w:tcPr>
          <w:p w14:paraId="4EF15A24">
            <w:pPr>
              <w:spacing w:line="440" w:lineRule="exact"/>
              <w:jc w:val="center"/>
              <w:rPr>
                <w:rFonts w:ascii="宋体" w:hAnsi="宋体" w:cs="宋体"/>
                <w:bCs/>
                <w:color w:val="auto"/>
                <w:sz w:val="24"/>
                <w:highlight w:val="none"/>
              </w:rPr>
            </w:pPr>
          </w:p>
        </w:tc>
        <w:tc>
          <w:tcPr>
            <w:tcW w:w="2270" w:type="dxa"/>
            <w:noWrap/>
            <w:vAlign w:val="center"/>
          </w:tcPr>
          <w:p w14:paraId="033121B6">
            <w:pPr>
              <w:spacing w:line="440" w:lineRule="exact"/>
              <w:jc w:val="center"/>
              <w:rPr>
                <w:rFonts w:ascii="宋体" w:hAnsi="宋体" w:cs="宋体"/>
                <w:bCs/>
                <w:color w:val="auto"/>
                <w:sz w:val="18"/>
                <w:highlight w:val="none"/>
              </w:rPr>
            </w:pPr>
          </w:p>
        </w:tc>
        <w:tc>
          <w:tcPr>
            <w:tcW w:w="2718" w:type="dxa"/>
            <w:noWrap/>
            <w:vAlign w:val="center"/>
          </w:tcPr>
          <w:p w14:paraId="2346A179">
            <w:pPr>
              <w:spacing w:line="440" w:lineRule="exact"/>
              <w:jc w:val="center"/>
              <w:rPr>
                <w:rFonts w:ascii="宋体" w:hAnsi="宋体" w:cs="宋体"/>
                <w:bCs/>
                <w:color w:val="auto"/>
                <w:sz w:val="18"/>
                <w:highlight w:val="none"/>
              </w:rPr>
            </w:pPr>
          </w:p>
        </w:tc>
      </w:tr>
      <w:tr w14:paraId="4A81D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907" w:type="dxa"/>
            <w:noWrap/>
            <w:vAlign w:val="center"/>
          </w:tcPr>
          <w:p w14:paraId="591F0E9E">
            <w:pPr>
              <w:spacing w:line="440" w:lineRule="exact"/>
              <w:jc w:val="center"/>
              <w:rPr>
                <w:rFonts w:ascii="宋体" w:hAnsi="宋体" w:cs="宋体"/>
                <w:bCs/>
                <w:color w:val="auto"/>
                <w:sz w:val="32"/>
                <w:highlight w:val="none"/>
              </w:rPr>
            </w:pPr>
          </w:p>
        </w:tc>
        <w:tc>
          <w:tcPr>
            <w:tcW w:w="2005" w:type="dxa"/>
            <w:noWrap/>
            <w:vAlign w:val="center"/>
          </w:tcPr>
          <w:p w14:paraId="1C81D411">
            <w:pPr>
              <w:spacing w:line="440" w:lineRule="exact"/>
              <w:jc w:val="center"/>
              <w:rPr>
                <w:rFonts w:ascii="宋体" w:hAnsi="宋体" w:cs="宋体"/>
                <w:bCs/>
                <w:color w:val="auto"/>
                <w:sz w:val="24"/>
                <w:highlight w:val="none"/>
              </w:rPr>
            </w:pPr>
          </w:p>
        </w:tc>
        <w:tc>
          <w:tcPr>
            <w:tcW w:w="2137" w:type="dxa"/>
            <w:noWrap/>
            <w:vAlign w:val="center"/>
          </w:tcPr>
          <w:p w14:paraId="74C0221E">
            <w:pPr>
              <w:pStyle w:val="23"/>
              <w:widowControl w:val="0"/>
              <w:tabs>
                <w:tab w:val="left" w:pos="420"/>
              </w:tabs>
              <w:spacing w:before="0" w:beforeAutospacing="0" w:after="0" w:afterAutospacing="0" w:line="440" w:lineRule="exact"/>
              <w:jc w:val="both"/>
              <w:rPr>
                <w:bCs/>
                <w:color w:val="auto"/>
                <w:highlight w:val="none"/>
              </w:rPr>
            </w:pPr>
          </w:p>
        </w:tc>
        <w:tc>
          <w:tcPr>
            <w:tcW w:w="2270" w:type="dxa"/>
            <w:noWrap/>
            <w:vAlign w:val="center"/>
          </w:tcPr>
          <w:p w14:paraId="36F095FB">
            <w:pPr>
              <w:spacing w:line="440" w:lineRule="exact"/>
              <w:jc w:val="center"/>
              <w:rPr>
                <w:rFonts w:ascii="宋体" w:hAnsi="宋体" w:cs="宋体"/>
                <w:bCs/>
                <w:color w:val="auto"/>
                <w:sz w:val="18"/>
                <w:highlight w:val="none"/>
              </w:rPr>
            </w:pPr>
          </w:p>
        </w:tc>
        <w:tc>
          <w:tcPr>
            <w:tcW w:w="2718" w:type="dxa"/>
            <w:noWrap/>
            <w:vAlign w:val="center"/>
          </w:tcPr>
          <w:p w14:paraId="1DD0BE5F">
            <w:pPr>
              <w:spacing w:line="440" w:lineRule="exact"/>
              <w:jc w:val="center"/>
              <w:rPr>
                <w:rFonts w:ascii="宋体" w:hAnsi="宋体" w:cs="宋体"/>
                <w:bCs/>
                <w:color w:val="auto"/>
                <w:sz w:val="18"/>
                <w:highlight w:val="none"/>
              </w:rPr>
            </w:pPr>
          </w:p>
        </w:tc>
      </w:tr>
      <w:tr w14:paraId="3ADB6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907" w:type="dxa"/>
            <w:noWrap/>
            <w:vAlign w:val="center"/>
          </w:tcPr>
          <w:p w14:paraId="494EBA38">
            <w:pPr>
              <w:spacing w:line="440" w:lineRule="exact"/>
              <w:jc w:val="center"/>
              <w:rPr>
                <w:rFonts w:ascii="宋体" w:hAnsi="宋体" w:cs="宋体"/>
                <w:bCs/>
                <w:color w:val="auto"/>
                <w:sz w:val="32"/>
                <w:highlight w:val="none"/>
              </w:rPr>
            </w:pPr>
          </w:p>
        </w:tc>
        <w:tc>
          <w:tcPr>
            <w:tcW w:w="2005" w:type="dxa"/>
            <w:noWrap/>
            <w:vAlign w:val="center"/>
          </w:tcPr>
          <w:p w14:paraId="0C9DEE9D">
            <w:pPr>
              <w:spacing w:line="440" w:lineRule="exact"/>
              <w:jc w:val="center"/>
              <w:rPr>
                <w:rFonts w:ascii="宋体" w:hAnsi="宋体" w:cs="宋体"/>
                <w:bCs/>
                <w:color w:val="auto"/>
                <w:sz w:val="24"/>
                <w:highlight w:val="none"/>
              </w:rPr>
            </w:pPr>
          </w:p>
        </w:tc>
        <w:tc>
          <w:tcPr>
            <w:tcW w:w="2137" w:type="dxa"/>
            <w:noWrap/>
            <w:vAlign w:val="center"/>
          </w:tcPr>
          <w:p w14:paraId="7C57E7EF">
            <w:pPr>
              <w:spacing w:line="440" w:lineRule="exact"/>
              <w:jc w:val="center"/>
              <w:rPr>
                <w:rFonts w:ascii="宋体" w:hAnsi="宋体" w:cs="宋体"/>
                <w:bCs/>
                <w:color w:val="auto"/>
                <w:sz w:val="24"/>
                <w:highlight w:val="none"/>
              </w:rPr>
            </w:pPr>
          </w:p>
        </w:tc>
        <w:tc>
          <w:tcPr>
            <w:tcW w:w="2270" w:type="dxa"/>
            <w:noWrap/>
            <w:vAlign w:val="center"/>
          </w:tcPr>
          <w:p w14:paraId="745372D6">
            <w:pPr>
              <w:spacing w:line="440" w:lineRule="exact"/>
              <w:jc w:val="center"/>
              <w:rPr>
                <w:rFonts w:ascii="宋体" w:hAnsi="宋体" w:cs="宋体"/>
                <w:bCs/>
                <w:color w:val="auto"/>
                <w:sz w:val="18"/>
                <w:highlight w:val="none"/>
              </w:rPr>
            </w:pPr>
          </w:p>
        </w:tc>
        <w:tc>
          <w:tcPr>
            <w:tcW w:w="2718" w:type="dxa"/>
            <w:noWrap/>
            <w:vAlign w:val="center"/>
          </w:tcPr>
          <w:p w14:paraId="162827FE">
            <w:pPr>
              <w:spacing w:line="440" w:lineRule="exact"/>
              <w:jc w:val="center"/>
              <w:rPr>
                <w:rFonts w:ascii="宋体" w:hAnsi="宋体" w:cs="宋体"/>
                <w:bCs/>
                <w:color w:val="auto"/>
                <w:sz w:val="18"/>
                <w:highlight w:val="none"/>
              </w:rPr>
            </w:pPr>
          </w:p>
        </w:tc>
      </w:tr>
      <w:tr w14:paraId="2F44B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907" w:type="dxa"/>
            <w:noWrap/>
            <w:vAlign w:val="center"/>
          </w:tcPr>
          <w:p w14:paraId="35D0030A">
            <w:pPr>
              <w:spacing w:line="440" w:lineRule="exact"/>
              <w:jc w:val="center"/>
              <w:rPr>
                <w:rFonts w:ascii="宋体" w:hAnsi="宋体" w:cs="宋体"/>
                <w:bCs/>
                <w:color w:val="auto"/>
                <w:sz w:val="32"/>
                <w:highlight w:val="none"/>
              </w:rPr>
            </w:pPr>
          </w:p>
        </w:tc>
        <w:tc>
          <w:tcPr>
            <w:tcW w:w="2005" w:type="dxa"/>
            <w:noWrap/>
            <w:vAlign w:val="center"/>
          </w:tcPr>
          <w:p w14:paraId="342448DF">
            <w:pPr>
              <w:spacing w:line="440" w:lineRule="exact"/>
              <w:jc w:val="center"/>
              <w:rPr>
                <w:rFonts w:ascii="宋体" w:hAnsi="宋体" w:cs="宋体"/>
                <w:bCs/>
                <w:color w:val="auto"/>
                <w:sz w:val="24"/>
                <w:highlight w:val="none"/>
              </w:rPr>
            </w:pPr>
          </w:p>
        </w:tc>
        <w:tc>
          <w:tcPr>
            <w:tcW w:w="2137" w:type="dxa"/>
            <w:noWrap/>
            <w:vAlign w:val="center"/>
          </w:tcPr>
          <w:p w14:paraId="2EAC2FDE">
            <w:pPr>
              <w:spacing w:line="440" w:lineRule="exact"/>
              <w:jc w:val="center"/>
              <w:rPr>
                <w:rFonts w:ascii="宋体" w:hAnsi="宋体" w:cs="宋体"/>
                <w:bCs/>
                <w:color w:val="auto"/>
                <w:sz w:val="24"/>
                <w:highlight w:val="none"/>
              </w:rPr>
            </w:pPr>
          </w:p>
        </w:tc>
        <w:tc>
          <w:tcPr>
            <w:tcW w:w="2270" w:type="dxa"/>
            <w:noWrap/>
            <w:vAlign w:val="center"/>
          </w:tcPr>
          <w:p w14:paraId="56377845">
            <w:pPr>
              <w:spacing w:line="440" w:lineRule="exact"/>
              <w:jc w:val="center"/>
              <w:rPr>
                <w:rFonts w:ascii="宋体" w:hAnsi="宋体" w:cs="宋体"/>
                <w:bCs/>
                <w:color w:val="auto"/>
                <w:sz w:val="18"/>
                <w:highlight w:val="none"/>
              </w:rPr>
            </w:pPr>
          </w:p>
        </w:tc>
        <w:tc>
          <w:tcPr>
            <w:tcW w:w="2718" w:type="dxa"/>
            <w:noWrap/>
            <w:vAlign w:val="center"/>
          </w:tcPr>
          <w:p w14:paraId="12875E56">
            <w:pPr>
              <w:spacing w:line="440" w:lineRule="exact"/>
              <w:jc w:val="center"/>
              <w:rPr>
                <w:rFonts w:ascii="宋体" w:hAnsi="宋体" w:cs="宋体"/>
                <w:bCs/>
                <w:color w:val="auto"/>
                <w:sz w:val="18"/>
                <w:highlight w:val="none"/>
              </w:rPr>
            </w:pPr>
          </w:p>
        </w:tc>
      </w:tr>
    </w:tbl>
    <w:p w14:paraId="529F3716">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注：投标人须对照招标文件技术规格，将自己所投的所有货物的功能、技术性能、配置等内容按照上表格式与招标文件要求逐条填写，</w:t>
      </w:r>
      <w:r>
        <w:rPr>
          <w:rFonts w:hint="eastAsia" w:ascii="宋体" w:hAnsi="宋体" w:cs="宋体"/>
          <w:b/>
          <w:bCs/>
          <w:color w:val="auto"/>
          <w:sz w:val="24"/>
          <w:highlight w:val="none"/>
        </w:rPr>
        <w:t>供应商必须提供所投货物的具体参数值，并在偏离说明栏中标明技术及配置的实际响应情况</w:t>
      </w:r>
      <w:r>
        <w:rPr>
          <w:rFonts w:hint="eastAsia" w:ascii="宋体" w:hAnsi="宋体" w:cs="宋体"/>
          <w:color w:val="auto"/>
          <w:sz w:val="24"/>
          <w:highlight w:val="none"/>
        </w:rPr>
        <w:t>：</w:t>
      </w:r>
    </w:p>
    <w:p w14:paraId="392C3A8F">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1、偏离说明栏中必须标明技术及配置的响应情况，整项货物及该项货物各部分相应情况须按下列要求填写，任何不真实响应都将按无效投标处理：</w:t>
      </w:r>
    </w:p>
    <w:p w14:paraId="6D7ADC56">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（1）对应项中的所有技术参数全部符合招标文件要求的才能填写“符合”；</w:t>
      </w:r>
    </w:p>
    <w:p w14:paraId="56653E57">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（2）对应项中的所有技术参数全部符合招标文件要求并且其中有一个或以上指标优于招标文件要求的，可填写“正偏离”；</w:t>
      </w:r>
    </w:p>
    <w:p w14:paraId="407BD4D4">
      <w:pPr>
        <w:spacing w:line="600" w:lineRule="exact"/>
        <w:rPr>
          <w:rFonts w:ascii="宋体" w:hAnsi="宋体" w:cs="宋体"/>
          <w:color w:val="auto"/>
          <w:sz w:val="24"/>
          <w:highlight w:val="none"/>
        </w:rPr>
      </w:pPr>
    </w:p>
    <w:p w14:paraId="3AFDA92B">
      <w:pPr>
        <w:spacing w:line="360" w:lineRule="auto"/>
        <w:rPr>
          <w:rFonts w:ascii="宋体" w:hAnsi="宋体" w:cs="宋体"/>
          <w:color w:val="auto"/>
          <w:sz w:val="24"/>
          <w:highlight w:val="none"/>
          <w:u w:val="single"/>
        </w:rPr>
      </w:pPr>
      <w:r>
        <w:rPr>
          <w:rFonts w:hint="eastAsia" w:ascii="宋体" w:hAnsi="宋体" w:cs="宋体"/>
          <w:color w:val="auto"/>
          <w:sz w:val="24"/>
          <w:highlight w:val="none"/>
        </w:rPr>
        <w:t>供应商（企业电子签章）：</w:t>
      </w:r>
    </w:p>
    <w:p w14:paraId="4FBDB665">
      <w:pPr>
        <w:spacing w:line="360" w:lineRule="auto"/>
        <w:rPr>
          <w:rFonts w:ascii="宋体" w:hAnsi="宋体" w:cs="宋体"/>
          <w:color w:val="auto"/>
          <w:sz w:val="24"/>
          <w:highlight w:val="none"/>
        </w:rPr>
      </w:pPr>
      <w:r>
        <w:rPr>
          <w:rFonts w:hint="eastAsia" w:ascii="宋体" w:hAnsi="宋体" w:cs="宋体"/>
          <w:color w:val="auto"/>
          <w:sz w:val="24"/>
          <w:highlight w:val="none"/>
        </w:rPr>
        <w:t>法人代表或授权委托人（签字或盖章）：</w:t>
      </w:r>
    </w:p>
    <w:p w14:paraId="03B85E96">
      <w:pPr>
        <w:spacing w:line="360" w:lineRule="auto"/>
        <w:rPr>
          <w:rFonts w:ascii="宋体" w:hAnsi="宋体" w:cs="宋体"/>
          <w:color w:val="auto"/>
          <w:sz w:val="24"/>
          <w:highlight w:val="none"/>
        </w:rPr>
        <w:sectPr>
          <w:headerReference r:id="rId6" w:type="default"/>
          <w:footerReference r:id="rId7" w:type="default"/>
          <w:pgSz w:w="11905" w:h="16838"/>
          <w:pgMar w:top="1440" w:right="1463" w:bottom="1440" w:left="1463" w:header="0" w:footer="737" w:gutter="0"/>
          <w:cols w:space="0" w:num="1"/>
          <w:rtlGutter w:val="0"/>
          <w:docGrid w:linePitch="379" w:charSpace="0"/>
        </w:sectPr>
      </w:pPr>
      <w:r>
        <w:rPr>
          <w:rFonts w:hint="eastAsia" w:ascii="宋体" w:hAnsi="宋体" w:cs="宋体"/>
          <w:color w:val="auto"/>
          <w:sz w:val="24"/>
          <w:highlight w:val="none"/>
        </w:rPr>
        <w:t xml:space="preserve">年    月    日  </w:t>
      </w:r>
    </w:p>
    <w:p w14:paraId="76D291E8">
      <w:pPr>
        <w:pStyle w:val="24"/>
        <w:spacing w:before="0" w:after="0" w:line="360" w:lineRule="auto"/>
        <w:outlineLvl w:val="1"/>
        <w:rPr>
          <w:rFonts w:ascii="宋体" w:hAnsi="宋体" w:eastAsia="宋体" w:cs="宋体"/>
          <w:color w:val="auto"/>
          <w:sz w:val="28"/>
          <w:szCs w:val="28"/>
          <w:highlight w:val="none"/>
        </w:rPr>
      </w:pPr>
      <w:bookmarkStart w:id="316" w:name="_Toc23283"/>
      <w:bookmarkStart w:id="317" w:name="_Toc2213"/>
      <w:bookmarkStart w:id="318" w:name="_Toc26698"/>
      <w:bookmarkStart w:id="319" w:name="_Toc16500"/>
      <w:bookmarkStart w:id="320" w:name="_Toc5614"/>
      <w:r>
        <w:rPr>
          <w:rFonts w:hint="eastAsia" w:ascii="宋体" w:hAnsi="宋体" w:eastAsia="宋体" w:cs="宋体"/>
          <w:color w:val="auto"/>
          <w:sz w:val="28"/>
          <w:szCs w:val="28"/>
          <w:highlight w:val="none"/>
        </w:rPr>
        <w:t>二、法定代表人身份证明书</w:t>
      </w:r>
      <w:bookmarkEnd w:id="316"/>
      <w:bookmarkEnd w:id="317"/>
      <w:bookmarkEnd w:id="318"/>
      <w:bookmarkEnd w:id="319"/>
      <w:bookmarkEnd w:id="320"/>
    </w:p>
    <w:p w14:paraId="39381A0F">
      <w:pPr>
        <w:rPr>
          <w:rFonts w:ascii="宋体" w:hAnsi="宋体" w:cs="宋体"/>
          <w:color w:val="auto"/>
          <w:highlight w:val="none"/>
        </w:rPr>
      </w:pPr>
    </w:p>
    <w:p w14:paraId="730CB641">
      <w:pPr>
        <w:spacing w:line="360" w:lineRule="auto"/>
        <w:ind w:firstLine="480" w:firstLineChars="200"/>
        <w:rPr>
          <w:rFonts w:ascii="宋体" w:hAnsi="宋体" w:cs="宋体"/>
          <w:color w:val="auto"/>
          <w:sz w:val="24"/>
          <w:highlight w:val="none"/>
        </w:rPr>
      </w:pPr>
      <w:r>
        <w:rPr>
          <w:rFonts w:hint="eastAsia" w:ascii="宋体" w:hAnsi="宋体" w:cs="宋体"/>
          <w:color w:val="auto"/>
          <w:sz w:val="24"/>
          <w:szCs w:val="18"/>
          <w:highlight w:val="none"/>
        </w:rPr>
        <w:t>供应商</w:t>
      </w:r>
      <w:r>
        <w:rPr>
          <w:rFonts w:hint="eastAsia" w:ascii="宋体" w:hAnsi="宋体" w:cs="宋体"/>
          <w:color w:val="auto"/>
          <w:sz w:val="24"/>
          <w:highlight w:val="none"/>
        </w:rPr>
        <w:t>名称：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w:t>
      </w:r>
    </w:p>
    <w:p w14:paraId="43CAC195">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单位性质：</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w:t>
      </w:r>
    </w:p>
    <w:p w14:paraId="49B4F0DC">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地址：</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w:t>
      </w:r>
    </w:p>
    <w:p w14:paraId="13E6671D">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成立时间：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w:t>
      </w:r>
    </w:p>
    <w:p w14:paraId="54FC2CAB">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经营期限：</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w:t>
      </w:r>
    </w:p>
    <w:p w14:paraId="27ADFB43">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姓名：</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性别：</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年龄：</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职务：</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_</w:t>
      </w:r>
    </w:p>
    <w:p w14:paraId="2E7E1C5F">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系</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（供应商名称）的法定代表人。</w:t>
      </w:r>
    </w:p>
    <w:p w14:paraId="2BC1A64B">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特此证明。</w:t>
      </w:r>
    </w:p>
    <w:p w14:paraId="4521DD16">
      <w:pPr>
        <w:pStyle w:val="3"/>
        <w:rPr>
          <w:rFonts w:ascii="宋体" w:hAnsi="宋体" w:cs="宋体"/>
          <w:color w:val="auto"/>
          <w:sz w:val="24"/>
          <w:highlight w:val="none"/>
        </w:rPr>
      </w:pPr>
      <w:r>
        <w:rPr>
          <w:rFonts w:hint="eastAsia" w:ascii="宋体" w:hAnsi="宋体" w:cs="宋体"/>
          <w:color w:val="auto"/>
          <w:sz w:val="24"/>
          <w:highlight w:val="none"/>
        </w:rPr>
        <mc:AlternateContent>
          <mc:Choice Requires="wps">
            <w:drawing>
              <wp:anchor distT="0" distB="0" distL="114300" distR="114300" simplePos="0" relativeHeight="251659264" behindDoc="0" locked="0" layoutInCell="1" allowOverlap="1">
                <wp:simplePos x="0" y="0"/>
                <wp:positionH relativeFrom="column">
                  <wp:posOffset>-250825</wp:posOffset>
                </wp:positionH>
                <wp:positionV relativeFrom="paragraph">
                  <wp:posOffset>274955</wp:posOffset>
                </wp:positionV>
                <wp:extent cx="2912745" cy="2235200"/>
                <wp:effectExtent l="4445" t="4445" r="16510" b="8255"/>
                <wp:wrapNone/>
                <wp:docPr id="1" name="自选图形 3"/>
                <wp:cNvGraphicFramePr/>
                <a:graphic xmlns:a="http://schemas.openxmlformats.org/drawingml/2006/main">
                  <a:graphicData uri="http://schemas.microsoft.com/office/word/2010/wordprocessingShape">
                    <wps:wsp>
                      <wps:cNvSpPr/>
                      <wps:spPr>
                        <a:xfrm>
                          <a:off x="0" y="0"/>
                          <a:ext cx="2912745"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476F2081"/>
                        </w:txbxContent>
                      </wps:txbx>
                      <wps:bodyPr upright="1"/>
                    </wps:wsp>
                  </a:graphicData>
                </a:graphic>
              </wp:anchor>
            </w:drawing>
          </mc:Choice>
          <mc:Fallback>
            <w:pict>
              <v:shape id="自选图形 3" o:spid="_x0000_s1026" o:spt="176" type="#_x0000_t176" style="position:absolute;left:0pt;margin-left:-19.75pt;margin-top:21.65pt;height:176pt;width:229.35pt;z-index:251659264;mso-width-relative:page;mso-height-relative:page;" fillcolor="#FFFFFF" filled="t" stroked="t" coordsize="21600,21600" o:gfxdata="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u8NsdgAAAAKAQAA&#10;DwAAAAAAAAABACAAAAAiAAAAZHJzL2Rvd25yZXYueG1sUEsBAhQAFAAAAAgAh07iQFKrjd0ZAgAA&#10;RQQAAA4AAAAAAAAAAQAgAAAAJwEAAGRycy9lMm9Eb2MueG1sUEsFBgAAAAAGAAYAWQEAALIFAAAA&#10;AA==&#10;">
                <v:fill on="t" focussize="0,0"/>
                <v:stroke color="#000000" joinstyle="miter"/>
                <v:imagedata o:title=""/>
                <o:lock v:ext="edit" aspectratio="f"/>
                <v:textbox>
                  <w:txbxContent>
                    <w:p w14:paraId="476F2081"/>
                  </w:txbxContent>
                </v:textbox>
              </v:shape>
            </w:pict>
          </mc:Fallback>
        </mc:AlternateContent>
      </w:r>
      <w:r>
        <w:rPr>
          <w:rFonts w:hint="eastAsia" w:ascii="宋体" w:hAnsi="宋体" w:cs="宋体"/>
          <w:color w:val="auto"/>
          <w:sz w:val="24"/>
          <w:highlight w:val="none"/>
        </w:rPr>
        <mc:AlternateContent>
          <mc:Choice Requires="wps">
            <w:drawing>
              <wp:anchor distT="0" distB="0" distL="114300" distR="114300" simplePos="0" relativeHeight="251661312" behindDoc="0" locked="0" layoutInCell="1" allowOverlap="1">
                <wp:simplePos x="0" y="0"/>
                <wp:positionH relativeFrom="column">
                  <wp:posOffset>2649220</wp:posOffset>
                </wp:positionH>
                <wp:positionV relativeFrom="paragraph">
                  <wp:posOffset>346710</wp:posOffset>
                </wp:positionV>
                <wp:extent cx="3134360" cy="2108200"/>
                <wp:effectExtent l="4445" t="4445" r="23495" b="20955"/>
                <wp:wrapNone/>
                <wp:docPr id="3" name="自选图形 2"/>
                <wp:cNvGraphicFramePr/>
                <a:graphic xmlns:a="http://schemas.openxmlformats.org/drawingml/2006/main">
                  <a:graphicData uri="http://schemas.microsoft.com/office/word/2010/wordprocessingShape">
                    <wps:wsp>
                      <wps:cNvSpPr/>
                      <wps:spPr>
                        <a:xfrm>
                          <a:off x="0" y="0"/>
                          <a:ext cx="3134360" cy="2108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5281B2BD"/>
                        </w:txbxContent>
                      </wps:txbx>
                      <wps:bodyPr upright="1"/>
                    </wps:wsp>
                  </a:graphicData>
                </a:graphic>
              </wp:anchor>
            </w:drawing>
          </mc:Choice>
          <mc:Fallback>
            <w:pict>
              <v:shape id="自选图形 2" o:spid="_x0000_s1026" o:spt="176" type="#_x0000_t176" style="position:absolute;left:0pt;margin-left:208.6pt;margin-top:27.3pt;height:166pt;width:246.8pt;z-index:251661312;mso-width-relative:page;mso-height-relative:page;" fillcolor="#FFFFFF" filled="t" stroked="t" coordsize="21600,21600" o:gfxdata="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aGfVz2QAAAAoB&#10;AAAPAAAAAAAAAAEAIAAAACIAAABkcnMvZG93bnJldi54bWxQSwECFAAUAAAACACHTuJAaqGG7xoC&#10;AABFBAAADgAAAAAAAAABACAAAAAoAQAAZHJzL2Uyb0RvYy54bWxQSwUGAAAAAAYABgBZAQAAtAUA&#10;AAAA&#10;">
                <v:fill on="t" focussize="0,0"/>
                <v:stroke color="#000000" joinstyle="miter"/>
                <v:imagedata o:title=""/>
                <o:lock v:ext="edit" aspectratio="f"/>
                <v:textbox>
                  <w:txbxContent>
                    <w:p w14:paraId="5281B2BD"/>
                  </w:txbxContent>
                </v:textbox>
              </v:shape>
            </w:pict>
          </mc:Fallback>
        </mc:AlternateContent>
      </w:r>
    </w:p>
    <w:p w14:paraId="02CE3BC9">
      <w:pPr>
        <w:rPr>
          <w:rFonts w:ascii="宋体" w:hAnsi="宋体" w:cs="宋体"/>
          <w:color w:val="auto"/>
          <w:sz w:val="24"/>
          <w:highlight w:val="none"/>
        </w:rPr>
      </w:pPr>
    </w:p>
    <w:p w14:paraId="19F81BE1">
      <w:pPr>
        <w:pStyle w:val="3"/>
        <w:rPr>
          <w:rFonts w:ascii="宋体" w:hAnsi="宋体" w:cs="宋体"/>
          <w:color w:val="auto"/>
          <w:sz w:val="24"/>
          <w:highlight w:val="none"/>
        </w:rPr>
      </w:pPr>
      <w:r>
        <w:rPr>
          <w:rFonts w:hint="eastAsia" w:ascii="宋体" w:hAnsi="宋体" w:cs="宋体"/>
          <w:color w:val="auto"/>
          <w:sz w:val="24"/>
          <w:highlight w:val="none"/>
        </w:rPr>
        <mc:AlternateContent>
          <mc:Choice Requires="wps">
            <w:drawing>
              <wp:anchor distT="0" distB="0" distL="114300" distR="114300" simplePos="0" relativeHeight="251660288" behindDoc="0" locked="0" layoutInCell="1" allowOverlap="1">
                <wp:simplePos x="0" y="0"/>
                <wp:positionH relativeFrom="column">
                  <wp:posOffset>-105410</wp:posOffset>
                </wp:positionH>
                <wp:positionV relativeFrom="paragraph">
                  <wp:posOffset>416560</wp:posOffset>
                </wp:positionV>
                <wp:extent cx="2810510" cy="296545"/>
                <wp:effectExtent l="4445" t="4445" r="23495" b="22860"/>
                <wp:wrapNone/>
                <wp:docPr id="2" name="文本框 5"/>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2AF3F26">
                            <w:r>
                              <w:rPr>
                                <w:rFonts w:hint="eastAsia" w:ascii="宋体" w:hAnsi="宋体"/>
                                <w:sz w:val="24"/>
                              </w:rPr>
                              <w:t>法定代表人身份证复印件粘贴处（正面）</w:t>
                            </w:r>
                          </w:p>
                        </w:txbxContent>
                      </wps:txbx>
                      <wps:bodyPr upright="1"/>
                    </wps:wsp>
                  </a:graphicData>
                </a:graphic>
              </wp:anchor>
            </w:drawing>
          </mc:Choice>
          <mc:Fallback>
            <w:pict>
              <v:shape id="文本框 5" o:spid="_x0000_s1026" o:spt="202" type="#_x0000_t202" style="position:absolute;left:0pt;margin-left:-8.3pt;margin-top:32.8pt;height:23.35pt;width:221.3pt;z-index:251660288;mso-width-relative:page;mso-height-relative:page;" fillcolor="#FFFFFF" filled="t" stroked="t" coordsize="21600,21600" o:gfxdata="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IKit9kAAAAKAQAADwAAAAAAAAABACAA&#10;AAAiAAAAZHJzL2Rvd25yZXYueG1sUEsBAhQAFAAAAAgAh07iQJlJoW8MAgAANgQAAA4AAAAAAAAA&#10;AQAgAAAAKAEAAGRycy9lMm9Eb2MueG1sUEsFBgAAAAAGAAYAWQEAAKYFAAAAAA==&#10;">
                <v:fill on="t" focussize="0,0"/>
                <v:stroke color="#000000" joinstyle="miter"/>
                <v:imagedata o:title=""/>
                <o:lock v:ext="edit" aspectratio="f"/>
                <v:textbox>
                  <w:txbxContent>
                    <w:p w14:paraId="42AF3F26">
                      <w:r>
                        <w:rPr>
                          <w:rFonts w:hint="eastAsia" w:ascii="宋体" w:hAnsi="宋体"/>
                          <w:sz w:val="24"/>
                        </w:rPr>
                        <w:t>法定代表人身份证复印件粘贴处（正面）</w:t>
                      </w:r>
                    </w:p>
                  </w:txbxContent>
                </v:textbox>
              </v:shape>
            </w:pict>
          </mc:Fallback>
        </mc:AlternateContent>
      </w:r>
      <w:r>
        <w:rPr>
          <w:rFonts w:hint="eastAsia" w:ascii="宋体" w:hAnsi="宋体" w:cs="宋体"/>
          <w:color w:val="auto"/>
          <w:sz w:val="24"/>
          <w:highlight w:val="none"/>
        </w:rPr>
        <mc:AlternateContent>
          <mc:Choice Requires="wps">
            <w:drawing>
              <wp:anchor distT="0" distB="0" distL="114300" distR="114300" simplePos="0" relativeHeight="251662336" behindDoc="0" locked="0" layoutInCell="1" allowOverlap="1">
                <wp:simplePos x="0" y="0"/>
                <wp:positionH relativeFrom="column">
                  <wp:posOffset>2781300</wp:posOffset>
                </wp:positionH>
                <wp:positionV relativeFrom="paragraph">
                  <wp:posOffset>361315</wp:posOffset>
                </wp:positionV>
                <wp:extent cx="2810510" cy="296545"/>
                <wp:effectExtent l="4445" t="4445" r="23495" b="22860"/>
                <wp:wrapNone/>
                <wp:docPr id="4" name="文本框 4"/>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5B19D52">
                            <w:r>
                              <w:rPr>
                                <w:rFonts w:hint="eastAsia" w:ascii="宋体" w:hAnsi="宋体"/>
                                <w:sz w:val="24"/>
                              </w:rPr>
                              <w:t>法定代表人身份证复印件粘贴处（背面）</w:t>
                            </w:r>
                          </w:p>
                        </w:txbxContent>
                      </wps:txbx>
                      <wps:bodyPr upright="1"/>
                    </wps:wsp>
                  </a:graphicData>
                </a:graphic>
              </wp:anchor>
            </w:drawing>
          </mc:Choice>
          <mc:Fallback>
            <w:pict>
              <v:shape id="_x0000_s1026" o:spid="_x0000_s1026" o:spt="202" type="#_x0000_t202" style="position:absolute;left:0pt;margin-left:219pt;margin-top:28.45pt;height:23.35pt;width:221.3pt;z-index:251662336;mso-width-relative:page;mso-height-relative:page;" fillcolor="#FFFFFF" filled="t" stroked="t" coordsize="21600,21600" o:gfxdata="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DpQXF2QAAAAoBAAAPAAAAAAAAAAEAIAAA&#10;ACIAAABkcnMvZG93bnJldi54bWxQSwECFAAUAAAACACHTuJAbasTKwsCAAA2BAAADgAAAAAAAAAB&#10;ACAAAAAoAQAAZHJzL2Uyb0RvYy54bWxQSwUGAAAAAAYABgBZAQAApQUAAAAA&#10;">
                <v:fill on="t" focussize="0,0"/>
                <v:stroke color="#000000" joinstyle="miter"/>
                <v:imagedata o:title=""/>
                <o:lock v:ext="edit" aspectratio="f"/>
                <v:textbox>
                  <w:txbxContent>
                    <w:p w14:paraId="15B19D52">
                      <w:r>
                        <w:rPr>
                          <w:rFonts w:hint="eastAsia" w:ascii="宋体" w:hAnsi="宋体"/>
                          <w:sz w:val="24"/>
                        </w:rPr>
                        <w:t>法定代表人身份证复印件粘贴处（背面）</w:t>
                      </w:r>
                    </w:p>
                  </w:txbxContent>
                </v:textbox>
              </v:shape>
            </w:pict>
          </mc:Fallback>
        </mc:AlternateContent>
      </w:r>
    </w:p>
    <w:p w14:paraId="2999B1AC">
      <w:pPr>
        <w:rPr>
          <w:rFonts w:ascii="宋体" w:hAnsi="宋体" w:cs="宋体"/>
          <w:color w:val="auto"/>
          <w:sz w:val="24"/>
          <w:highlight w:val="none"/>
        </w:rPr>
      </w:pPr>
    </w:p>
    <w:p w14:paraId="72771FF0">
      <w:pPr>
        <w:pStyle w:val="3"/>
        <w:rPr>
          <w:rFonts w:ascii="宋体" w:hAnsi="宋体" w:cs="宋体"/>
          <w:color w:val="auto"/>
          <w:highlight w:val="none"/>
        </w:rPr>
      </w:pPr>
    </w:p>
    <w:p w14:paraId="1A7FEE07">
      <w:pPr>
        <w:spacing w:line="360" w:lineRule="auto"/>
        <w:ind w:firstLine="480" w:firstLineChars="200"/>
        <w:rPr>
          <w:rFonts w:ascii="宋体" w:hAnsi="宋体" w:cs="宋体"/>
          <w:color w:val="auto"/>
          <w:sz w:val="24"/>
          <w:highlight w:val="none"/>
        </w:rPr>
      </w:pPr>
    </w:p>
    <w:p w14:paraId="1538D52E">
      <w:pPr>
        <w:spacing w:line="360" w:lineRule="auto"/>
        <w:rPr>
          <w:rFonts w:ascii="宋体" w:hAnsi="宋体" w:cs="宋体"/>
          <w:color w:val="auto"/>
          <w:sz w:val="24"/>
          <w:highlight w:val="none"/>
        </w:rPr>
      </w:pPr>
      <w:r>
        <w:rPr>
          <w:rFonts w:hint="eastAsia" w:ascii="宋体" w:hAnsi="宋体" w:cs="宋体"/>
          <w:color w:val="auto"/>
          <w:sz w:val="24"/>
          <w:highlight w:val="none"/>
        </w:rPr>
        <w:t>供应商： （企业电子签章）</w:t>
      </w:r>
    </w:p>
    <w:p w14:paraId="0CDF9F0B">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         </w:t>
      </w:r>
    </w:p>
    <w:p w14:paraId="43534A29">
      <w:pPr>
        <w:spacing w:line="360" w:lineRule="auto"/>
        <w:ind w:firstLine="480" w:firstLineChars="200"/>
        <w:rPr>
          <w:rFonts w:ascii="宋体" w:hAnsi="宋体" w:cs="宋体"/>
          <w:color w:val="auto"/>
          <w:sz w:val="24"/>
          <w:highlight w:val="none"/>
        </w:rPr>
      </w:pPr>
    </w:p>
    <w:p w14:paraId="51670A49">
      <w:pPr>
        <w:spacing w:line="360" w:lineRule="auto"/>
        <w:ind w:firstLine="5760" w:firstLineChars="2400"/>
        <w:rPr>
          <w:rFonts w:ascii="宋体" w:hAnsi="宋体" w:cs="宋体"/>
          <w:color w:val="auto"/>
          <w:sz w:val="24"/>
          <w:highlight w:val="none"/>
        </w:rPr>
      </w:pPr>
      <w:r>
        <w:rPr>
          <w:rFonts w:hint="eastAsia" w:ascii="宋体" w:hAnsi="宋体" w:cs="宋体"/>
          <w:color w:val="auto"/>
          <w:sz w:val="24"/>
          <w:highlight w:val="none"/>
        </w:rPr>
        <w:t>年    月    日</w:t>
      </w:r>
    </w:p>
    <w:p w14:paraId="6A93B4F2">
      <w:pPr>
        <w:spacing w:line="440" w:lineRule="exact"/>
        <w:rPr>
          <w:rFonts w:ascii="宋体" w:hAnsi="宋体" w:cs="宋体"/>
          <w:color w:val="auto"/>
          <w:highlight w:val="none"/>
        </w:rPr>
      </w:pPr>
    </w:p>
    <w:p w14:paraId="065F913C">
      <w:pPr>
        <w:spacing w:line="440" w:lineRule="exact"/>
        <w:rPr>
          <w:rFonts w:ascii="宋体" w:hAnsi="宋体" w:cs="宋体"/>
          <w:color w:val="auto"/>
          <w:highlight w:val="none"/>
        </w:rPr>
      </w:pPr>
    </w:p>
    <w:p w14:paraId="2A3C576E">
      <w:pPr>
        <w:spacing w:line="440" w:lineRule="exact"/>
        <w:rPr>
          <w:rFonts w:ascii="宋体" w:hAnsi="宋体" w:cs="宋体"/>
          <w:color w:val="auto"/>
          <w:highlight w:val="none"/>
        </w:rPr>
      </w:pPr>
    </w:p>
    <w:p w14:paraId="63FA01A1">
      <w:pPr>
        <w:spacing w:line="440" w:lineRule="exact"/>
        <w:rPr>
          <w:rFonts w:ascii="宋体" w:hAnsi="宋体" w:cs="宋体"/>
          <w:color w:val="auto"/>
          <w:highlight w:val="none"/>
        </w:rPr>
      </w:pPr>
    </w:p>
    <w:p w14:paraId="3FAA29FB">
      <w:pPr>
        <w:spacing w:line="440" w:lineRule="exact"/>
        <w:rPr>
          <w:rFonts w:ascii="宋体" w:hAnsi="宋体" w:cs="宋体"/>
          <w:color w:val="auto"/>
          <w:highlight w:val="none"/>
        </w:rPr>
      </w:pPr>
    </w:p>
    <w:p w14:paraId="7B559EE6">
      <w:pPr>
        <w:pStyle w:val="26"/>
        <w:rPr>
          <w:color w:val="auto"/>
          <w:highlight w:val="none"/>
        </w:rPr>
      </w:pPr>
    </w:p>
    <w:p w14:paraId="30D04EDA">
      <w:pPr>
        <w:pStyle w:val="24"/>
        <w:spacing w:before="120" w:after="120" w:line="500" w:lineRule="exact"/>
        <w:ind w:right="29" w:rightChars="14"/>
        <w:outlineLvl w:val="1"/>
        <w:rPr>
          <w:rFonts w:ascii="宋体" w:hAnsi="宋体" w:eastAsia="宋体" w:cs="宋体"/>
          <w:color w:val="auto"/>
          <w:sz w:val="28"/>
          <w:szCs w:val="28"/>
          <w:highlight w:val="none"/>
        </w:rPr>
      </w:pPr>
      <w:bookmarkStart w:id="321" w:name="_Toc729"/>
      <w:bookmarkStart w:id="322" w:name="_Toc6009"/>
      <w:bookmarkStart w:id="323" w:name="_Toc15395"/>
      <w:bookmarkStart w:id="324" w:name="_Toc17980"/>
      <w:bookmarkStart w:id="325" w:name="_Toc26257"/>
      <w:r>
        <w:rPr>
          <w:rFonts w:hint="eastAsia" w:ascii="宋体" w:hAnsi="宋体" w:eastAsia="宋体" w:cs="宋体"/>
          <w:color w:val="auto"/>
          <w:sz w:val="28"/>
          <w:szCs w:val="28"/>
          <w:highlight w:val="none"/>
        </w:rPr>
        <w:t>三、授权委托书</w:t>
      </w:r>
      <w:bookmarkEnd w:id="321"/>
      <w:bookmarkEnd w:id="322"/>
      <w:bookmarkEnd w:id="323"/>
      <w:bookmarkEnd w:id="324"/>
      <w:bookmarkEnd w:id="325"/>
    </w:p>
    <w:p w14:paraId="1CAC1289">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本人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（姓名）系</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（供应商名称）的法定代表人，现委托</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（姓名）为我方代理人。代理人根据授权，以我方名义签署、澄清、说明、补正、递交、撤回、修改</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（项目名称</w:t>
      </w:r>
      <w:r>
        <w:rPr>
          <w:rFonts w:hint="eastAsia" w:ascii="宋体" w:hAnsi="宋体" w:cs="宋体"/>
          <w:color w:val="auto"/>
          <w:sz w:val="24"/>
          <w:highlight w:val="none"/>
          <w:lang w:val="en-US" w:eastAsia="zh-CN"/>
        </w:rPr>
        <w:t>+标段</w:t>
      </w:r>
      <w:r>
        <w:rPr>
          <w:rFonts w:hint="eastAsia" w:ascii="宋体" w:hAnsi="宋体" w:cs="宋体"/>
          <w:color w:val="auto"/>
          <w:sz w:val="24"/>
          <w:highlight w:val="none"/>
        </w:rPr>
        <w:t>）项目响应文件、签订合同和处理有关事宜，其法律后果由我方承担。</w:t>
      </w:r>
    </w:p>
    <w:p w14:paraId="49954AB0">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委托期限：</w:t>
      </w:r>
      <w:r>
        <w:rPr>
          <w:rFonts w:hint="eastAsia" w:ascii="宋体" w:hAnsi="宋体" w:cs="宋体"/>
          <w:color w:val="auto"/>
          <w:sz w:val="24"/>
          <w:highlight w:val="none"/>
          <w:u w:val="single"/>
        </w:rPr>
        <w:t xml:space="preserve">                                </w:t>
      </w:r>
    </w:p>
    <w:p w14:paraId="0E9C7D30">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代理人无转委托权。</w:t>
      </w:r>
    </w:p>
    <w:p w14:paraId="6A4AF6CC">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mc:AlternateContent>
          <mc:Choice Requires="wps">
            <w:drawing>
              <wp:anchor distT="0" distB="0" distL="114300" distR="114300" simplePos="0" relativeHeight="251664384" behindDoc="0" locked="0" layoutInCell="1" allowOverlap="1">
                <wp:simplePos x="0" y="0"/>
                <wp:positionH relativeFrom="column">
                  <wp:posOffset>3013075</wp:posOffset>
                </wp:positionH>
                <wp:positionV relativeFrom="paragraph">
                  <wp:posOffset>254000</wp:posOffset>
                </wp:positionV>
                <wp:extent cx="3134360" cy="2235200"/>
                <wp:effectExtent l="4445" t="5080" r="23495" b="7620"/>
                <wp:wrapNone/>
                <wp:docPr id="6" name="自选图形 6"/>
                <wp:cNvGraphicFramePr/>
                <a:graphic xmlns:a="http://schemas.openxmlformats.org/drawingml/2006/main">
                  <a:graphicData uri="http://schemas.microsoft.com/office/word/2010/wordprocessingShape">
                    <wps:wsp>
                      <wps:cNvSpPr/>
                      <wps:spPr>
                        <a:xfrm>
                          <a:off x="0" y="0"/>
                          <a:ext cx="313436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shape id="自选图形 6" o:spid="_x0000_s1026" o:spt="176" type="#_x0000_t176" style="position:absolute;left:0pt;margin-left:237.25pt;margin-top:20pt;height:176pt;width:246.8pt;z-index:251664384;mso-width-relative:page;mso-height-relative:page;" fillcolor="#FFFFFF" filled="t" stroked="t" coordsize="21600,21600" o:gfxdata="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I/PPHnYAAAACgEAAA8AAAAA&#10;AAAAAQAgAAAAIgAAAGRycy9kb3ducmV2LnhtbFBLAQIUABQAAAAIAIdO4kAMnc5CFAIAADoEAAAO&#10;AAAAAAAAAAEAIAAAACcBAABkcnMvZTJvRG9jLnhtbFBLBQYAAAAABgAGAFkBAACtBQAAAAA=&#10;">
                <v:fill on="t" focussize="0,0"/>
                <v:stroke color="#000000" joinstyle="miter"/>
                <v:imagedata o:title=""/>
                <o:lock v:ext="edit" aspectratio="f"/>
              </v:shape>
            </w:pict>
          </mc:Fallback>
        </mc:AlternateContent>
      </w:r>
      <w:r>
        <w:rPr>
          <w:rFonts w:hint="eastAsia" w:ascii="宋体" w:hAnsi="宋体" w:cs="宋体"/>
          <w:color w:val="auto"/>
          <w:sz w:val="24"/>
          <w:highlight w:val="none"/>
        </w:rPr>
        <mc:AlternateContent>
          <mc:Choice Requires="wps">
            <w:drawing>
              <wp:anchor distT="0" distB="0" distL="114300" distR="114300" simplePos="0" relativeHeight="251663360" behindDoc="0" locked="0" layoutInCell="1" allowOverlap="1">
                <wp:simplePos x="0" y="0"/>
                <wp:positionH relativeFrom="column">
                  <wp:posOffset>-46355</wp:posOffset>
                </wp:positionH>
                <wp:positionV relativeFrom="paragraph">
                  <wp:posOffset>201295</wp:posOffset>
                </wp:positionV>
                <wp:extent cx="3050540" cy="2235200"/>
                <wp:effectExtent l="4445" t="4445" r="12065" b="8255"/>
                <wp:wrapNone/>
                <wp:docPr id="5" name="自选图形 7"/>
                <wp:cNvGraphicFramePr/>
                <a:graphic xmlns:a="http://schemas.openxmlformats.org/drawingml/2006/main">
                  <a:graphicData uri="http://schemas.microsoft.com/office/word/2010/wordprocessingShape">
                    <wps:wsp>
                      <wps:cNvSpPr/>
                      <wps:spPr>
                        <a:xfrm>
                          <a:off x="0" y="0"/>
                          <a:ext cx="305054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49C544AA">
                            <w:pPr>
                              <w:jc w:val="center"/>
                            </w:pPr>
                          </w:p>
                        </w:txbxContent>
                      </wps:txbx>
                      <wps:bodyPr upright="1"/>
                    </wps:wsp>
                  </a:graphicData>
                </a:graphic>
              </wp:anchor>
            </w:drawing>
          </mc:Choice>
          <mc:Fallback>
            <w:pict>
              <v:shape id="自选图形 7" o:spid="_x0000_s1026" o:spt="176" type="#_x0000_t176" style="position:absolute;left:0pt;margin-left:-3.65pt;margin-top:15.85pt;height:176pt;width:240.2pt;z-index:251663360;mso-width-relative:page;mso-height-relative:page;" fillcolor="#FFFFFF" filled="t" stroked="t" coordsize="21600,21600" o:gfxdata="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r5ur3dcAAAAJAQAA&#10;DwAAAAAAAAABACAAAAAiAAAAZHJzL2Rvd25yZXYueG1sUEsBAhQAFAAAAAgAh07iQIU5jm0aAgAA&#10;RQQAAA4AAAAAAAAAAQAgAAAAJgEAAGRycy9lMm9Eb2MueG1sUEsFBgAAAAAGAAYAWQEAALIFAAAA&#10;AA==&#10;">
                <v:fill on="t" focussize="0,0"/>
                <v:stroke color="#000000" joinstyle="miter"/>
                <v:imagedata o:title=""/>
                <o:lock v:ext="edit" aspectratio="f"/>
                <v:textbox>
                  <w:txbxContent>
                    <w:p w14:paraId="49C544AA">
                      <w:pPr>
                        <w:jc w:val="center"/>
                      </w:pPr>
                    </w:p>
                  </w:txbxContent>
                </v:textbox>
              </v:shape>
            </w:pict>
          </mc:Fallback>
        </mc:AlternateContent>
      </w:r>
    </w:p>
    <w:p w14:paraId="4F5D342A">
      <w:pPr>
        <w:spacing w:line="360" w:lineRule="auto"/>
        <w:ind w:firstLine="480" w:firstLineChars="200"/>
        <w:rPr>
          <w:rFonts w:ascii="宋体" w:hAnsi="宋体" w:cs="宋体"/>
          <w:color w:val="auto"/>
          <w:sz w:val="24"/>
          <w:highlight w:val="none"/>
        </w:rPr>
      </w:pPr>
    </w:p>
    <w:p w14:paraId="72C6CC37">
      <w:pPr>
        <w:spacing w:line="360" w:lineRule="auto"/>
        <w:ind w:firstLine="480" w:firstLineChars="200"/>
        <w:jc w:val="left"/>
        <w:rPr>
          <w:rFonts w:ascii="宋体" w:hAnsi="宋体" w:cs="宋体"/>
          <w:color w:val="auto"/>
          <w:sz w:val="24"/>
          <w:highlight w:val="none"/>
        </w:rPr>
      </w:pPr>
    </w:p>
    <w:p w14:paraId="2943F5A5">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mc:AlternateContent>
          <mc:Choice Requires="wps">
            <w:drawing>
              <wp:anchor distT="0" distB="0" distL="114300" distR="114300" simplePos="0" relativeHeight="251666432" behindDoc="0" locked="0" layoutInCell="1" allowOverlap="1">
                <wp:simplePos x="0" y="0"/>
                <wp:positionH relativeFrom="column">
                  <wp:posOffset>3161665</wp:posOffset>
                </wp:positionH>
                <wp:positionV relativeFrom="paragraph">
                  <wp:posOffset>234950</wp:posOffset>
                </wp:positionV>
                <wp:extent cx="2810510" cy="296545"/>
                <wp:effectExtent l="4445" t="4445" r="23495" b="22860"/>
                <wp:wrapNone/>
                <wp:docPr id="8" name="文本框 9"/>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508FDA5">
                            <w:r>
                              <w:rPr>
                                <w:rFonts w:hint="eastAsia" w:ascii="宋体" w:hAnsi="宋体"/>
                                <w:sz w:val="24"/>
                              </w:rPr>
                              <w:t>委托代理人身份证复印件粘贴处（背面）</w:t>
                            </w:r>
                          </w:p>
                        </w:txbxContent>
                      </wps:txbx>
                      <wps:bodyPr upright="1"/>
                    </wps:wsp>
                  </a:graphicData>
                </a:graphic>
              </wp:anchor>
            </w:drawing>
          </mc:Choice>
          <mc:Fallback>
            <w:pict>
              <v:shape id="文本框 9" o:spid="_x0000_s1026" o:spt="202" type="#_x0000_t202" style="position:absolute;left:0pt;margin-left:248.95pt;margin-top:18.5pt;height:23.35pt;width:221.3pt;z-index:251666432;mso-width-relative:page;mso-height-relative:page;" fillcolor="#FFFFFF" filled="t" stroked="t" coordsize="21600,21600" o:gfxdata="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Db7y/rZAAAACQEAAA8AAAAAAAAAAQAgAAAA&#10;IgAAAGRycy9kb3ducmV2LnhtbFBLAQIUABQAAAAIAIdO4kC2NVLHCgIAADYEAAAOAAAAAAAAAAEA&#10;IAAAACgBAABkcnMvZTJvRG9jLnhtbFBLBQYAAAAABgAGAFkBAACkBQAAAAA=&#10;">
                <v:fill on="t" focussize="0,0"/>
                <v:stroke color="#000000" joinstyle="miter"/>
                <v:imagedata o:title=""/>
                <o:lock v:ext="edit" aspectratio="f"/>
                <v:textbox>
                  <w:txbxContent>
                    <w:p w14:paraId="7508FDA5">
                      <w:r>
                        <w:rPr>
                          <w:rFonts w:hint="eastAsia" w:ascii="宋体" w:hAnsi="宋体"/>
                          <w:sz w:val="24"/>
                        </w:rPr>
                        <w:t>委托代理人身份证复印件粘贴处（背面）</w:t>
                      </w:r>
                    </w:p>
                  </w:txbxContent>
                </v:textbox>
              </v:shape>
            </w:pict>
          </mc:Fallback>
        </mc:AlternateContent>
      </w:r>
      <w:r>
        <w:rPr>
          <w:rFonts w:hint="eastAsia" w:ascii="宋体" w:hAnsi="宋体" w:cs="宋体"/>
          <w:color w:val="auto"/>
          <w:sz w:val="24"/>
          <w:highlight w:val="none"/>
        </w:rPr>
        <mc:AlternateContent>
          <mc:Choice Requires="wps">
            <w:drawing>
              <wp:anchor distT="0" distB="0" distL="114300" distR="114300" simplePos="0" relativeHeight="251665408" behindDoc="0" locked="0" layoutInCell="1" allowOverlap="1">
                <wp:simplePos x="0" y="0"/>
                <wp:positionH relativeFrom="column">
                  <wp:posOffset>58420</wp:posOffset>
                </wp:positionH>
                <wp:positionV relativeFrom="paragraph">
                  <wp:posOffset>273050</wp:posOffset>
                </wp:positionV>
                <wp:extent cx="2810510" cy="296545"/>
                <wp:effectExtent l="4445" t="4445" r="23495" b="22860"/>
                <wp:wrapNone/>
                <wp:docPr id="7" name="文本框 8"/>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40A2CCD">
                            <w:r>
                              <w:rPr>
                                <w:rFonts w:hint="eastAsia" w:ascii="宋体" w:hAnsi="宋体"/>
                                <w:sz w:val="24"/>
                              </w:rPr>
                              <w:t>委托代理人身份证复印件粘贴处（正面）</w:t>
                            </w:r>
                          </w:p>
                        </w:txbxContent>
                      </wps:txbx>
                      <wps:bodyPr upright="1"/>
                    </wps:wsp>
                  </a:graphicData>
                </a:graphic>
              </wp:anchor>
            </w:drawing>
          </mc:Choice>
          <mc:Fallback>
            <w:pict>
              <v:shape id="文本框 8" o:spid="_x0000_s1026" o:spt="202" type="#_x0000_t202" style="position:absolute;left:0pt;margin-left:4.6pt;margin-top:21.5pt;height:23.35pt;width:221.3pt;z-index:251665408;mso-width-relative:page;mso-height-relative:page;" fillcolor="#FFFFFF" filled="t" stroked="t" coordsize="21600,21600" o:gfxdata="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qYXA91gAAAAcBAAAPAAAAAAAAAAEAIAAAACIA&#10;AABkcnMvZG93bnJldi54bWxQSwECFAAUAAAACACHTuJAUHL7ZQsCAAA2BAAADgAAAAAAAAABACAA&#10;AAAlAQAAZHJzL2Uyb0RvYy54bWxQSwUGAAAAAAYABgBZAQAAogUAAAAA&#10;">
                <v:fill on="t" focussize="0,0"/>
                <v:stroke color="#000000" joinstyle="miter"/>
                <v:imagedata o:title=""/>
                <o:lock v:ext="edit" aspectratio="f"/>
                <v:textbox>
                  <w:txbxContent>
                    <w:p w14:paraId="340A2CCD">
                      <w:r>
                        <w:rPr>
                          <w:rFonts w:hint="eastAsia" w:ascii="宋体" w:hAnsi="宋体"/>
                          <w:sz w:val="24"/>
                        </w:rPr>
                        <w:t>委托代理人身份证复印件粘贴处（正面）</w:t>
                      </w:r>
                    </w:p>
                  </w:txbxContent>
                </v:textbox>
              </v:shape>
            </w:pict>
          </mc:Fallback>
        </mc:AlternateContent>
      </w:r>
    </w:p>
    <w:p w14:paraId="5E38F930">
      <w:pPr>
        <w:spacing w:line="360" w:lineRule="auto"/>
        <w:ind w:firstLine="480" w:firstLineChars="200"/>
        <w:jc w:val="left"/>
        <w:rPr>
          <w:rFonts w:ascii="宋体" w:hAnsi="宋体" w:cs="宋体"/>
          <w:color w:val="auto"/>
          <w:sz w:val="24"/>
          <w:highlight w:val="none"/>
        </w:rPr>
      </w:pPr>
    </w:p>
    <w:p w14:paraId="339255B6">
      <w:pPr>
        <w:spacing w:line="360" w:lineRule="auto"/>
        <w:ind w:firstLine="480" w:firstLineChars="200"/>
        <w:jc w:val="left"/>
        <w:rPr>
          <w:rFonts w:ascii="宋体" w:hAnsi="宋体" w:cs="宋体"/>
          <w:color w:val="auto"/>
          <w:sz w:val="24"/>
          <w:highlight w:val="none"/>
        </w:rPr>
      </w:pPr>
    </w:p>
    <w:p w14:paraId="74E50B29">
      <w:pPr>
        <w:spacing w:line="360" w:lineRule="auto"/>
        <w:ind w:firstLine="480" w:firstLineChars="200"/>
        <w:jc w:val="left"/>
        <w:rPr>
          <w:rFonts w:ascii="宋体" w:hAnsi="宋体" w:cs="宋体"/>
          <w:color w:val="auto"/>
          <w:sz w:val="24"/>
          <w:highlight w:val="none"/>
        </w:rPr>
      </w:pPr>
    </w:p>
    <w:p w14:paraId="5C60E709">
      <w:pPr>
        <w:spacing w:line="360" w:lineRule="auto"/>
        <w:ind w:firstLine="480" w:firstLineChars="200"/>
        <w:jc w:val="left"/>
        <w:rPr>
          <w:rFonts w:ascii="宋体" w:hAnsi="宋体" w:cs="宋体"/>
          <w:color w:val="auto"/>
          <w:sz w:val="24"/>
          <w:highlight w:val="none"/>
        </w:rPr>
      </w:pPr>
    </w:p>
    <w:p w14:paraId="430D401D">
      <w:pPr>
        <w:spacing w:line="360" w:lineRule="auto"/>
        <w:jc w:val="left"/>
        <w:rPr>
          <w:rFonts w:ascii="宋体" w:hAnsi="宋体" w:cs="宋体"/>
          <w:color w:val="auto"/>
          <w:sz w:val="24"/>
          <w:highlight w:val="none"/>
        </w:rPr>
      </w:pPr>
    </w:p>
    <w:p w14:paraId="423A6BCE">
      <w:pPr>
        <w:spacing w:line="360" w:lineRule="auto"/>
        <w:jc w:val="left"/>
        <w:rPr>
          <w:rFonts w:ascii="宋体" w:hAnsi="宋体" w:cs="宋体"/>
          <w:color w:val="auto"/>
          <w:sz w:val="24"/>
          <w:highlight w:val="none"/>
        </w:rPr>
      </w:pPr>
      <w:r>
        <w:rPr>
          <w:rFonts w:hint="eastAsia" w:ascii="宋体" w:hAnsi="宋体" w:cs="宋体"/>
          <w:color w:val="auto"/>
          <w:sz w:val="24"/>
          <w:highlight w:val="none"/>
        </w:rPr>
        <w:t>供应商：</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（企业电子签章） </w:t>
      </w:r>
    </w:p>
    <w:p w14:paraId="1CDD3161">
      <w:pPr>
        <w:spacing w:line="360" w:lineRule="auto"/>
        <w:jc w:val="left"/>
        <w:rPr>
          <w:rFonts w:ascii="宋体" w:hAnsi="宋体" w:cs="宋体"/>
          <w:color w:val="auto"/>
          <w:sz w:val="24"/>
          <w:highlight w:val="none"/>
        </w:rPr>
      </w:pPr>
      <w:r>
        <w:rPr>
          <w:rFonts w:hint="eastAsia" w:ascii="宋体" w:hAnsi="宋体" w:cs="宋体"/>
          <w:color w:val="auto"/>
          <w:sz w:val="24"/>
          <w:highlight w:val="none"/>
        </w:rPr>
        <w:t>法定代表人：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（签字或盖章）</w:t>
      </w:r>
    </w:p>
    <w:p w14:paraId="6E0D2053">
      <w:pPr>
        <w:spacing w:line="360" w:lineRule="auto"/>
        <w:jc w:val="left"/>
        <w:rPr>
          <w:rFonts w:ascii="宋体" w:hAnsi="宋体" w:cs="宋体"/>
          <w:color w:val="auto"/>
          <w:sz w:val="24"/>
          <w:highlight w:val="none"/>
        </w:rPr>
      </w:pPr>
      <w:r>
        <w:rPr>
          <w:rFonts w:hint="eastAsia" w:ascii="宋体" w:hAnsi="宋体" w:cs="宋体"/>
          <w:color w:val="auto"/>
          <w:sz w:val="24"/>
          <w:highlight w:val="none"/>
        </w:rPr>
        <w:t>委托代理人：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（签字或盖章）</w:t>
      </w:r>
    </w:p>
    <w:p w14:paraId="6513C3E4">
      <w:pPr>
        <w:spacing w:line="360" w:lineRule="auto"/>
        <w:ind w:firstLine="5040" w:firstLineChars="2100"/>
        <w:rPr>
          <w:rFonts w:ascii="宋体" w:hAnsi="宋体" w:cs="宋体"/>
          <w:color w:val="auto"/>
          <w:sz w:val="24"/>
          <w:highlight w:val="none"/>
        </w:rPr>
      </w:pPr>
    </w:p>
    <w:p w14:paraId="1D14AAB9">
      <w:pPr>
        <w:spacing w:line="360" w:lineRule="auto"/>
        <w:ind w:firstLine="6000" w:firstLineChars="2500"/>
        <w:rPr>
          <w:rFonts w:ascii="宋体" w:hAnsi="宋体" w:cs="宋体"/>
          <w:color w:val="auto"/>
          <w:sz w:val="30"/>
          <w:szCs w:val="30"/>
          <w:highlight w:val="none"/>
        </w:rPr>
      </w:pP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w:t>
      </w:r>
      <w:bookmarkEnd w:id="257"/>
    </w:p>
    <w:p w14:paraId="609512CD">
      <w:pPr>
        <w:pStyle w:val="23"/>
        <w:widowControl w:val="0"/>
        <w:spacing w:before="120" w:beforeAutospacing="0" w:after="120" w:afterAutospacing="0" w:line="500" w:lineRule="exact"/>
        <w:ind w:right="29" w:rightChars="14"/>
        <w:jc w:val="center"/>
        <w:outlineLvl w:val="1"/>
        <w:rPr>
          <w:b/>
          <w:color w:val="auto"/>
          <w:kern w:val="2"/>
          <w:sz w:val="30"/>
          <w:szCs w:val="30"/>
          <w:highlight w:val="none"/>
        </w:rPr>
      </w:pPr>
      <w:bookmarkStart w:id="326" w:name="_Toc8304"/>
      <w:bookmarkStart w:id="327" w:name="_Toc25161"/>
    </w:p>
    <w:p w14:paraId="46781521">
      <w:pPr>
        <w:pStyle w:val="23"/>
        <w:widowControl w:val="0"/>
        <w:spacing w:before="120" w:beforeAutospacing="0" w:after="120" w:afterAutospacing="0" w:line="500" w:lineRule="exact"/>
        <w:ind w:right="29" w:rightChars="14"/>
        <w:jc w:val="center"/>
        <w:outlineLvl w:val="1"/>
        <w:rPr>
          <w:b/>
          <w:color w:val="auto"/>
          <w:kern w:val="2"/>
          <w:sz w:val="30"/>
          <w:szCs w:val="30"/>
          <w:highlight w:val="none"/>
        </w:rPr>
      </w:pPr>
    </w:p>
    <w:p w14:paraId="15107C52">
      <w:pPr>
        <w:pStyle w:val="23"/>
        <w:widowControl w:val="0"/>
        <w:spacing w:before="120" w:beforeAutospacing="0" w:after="120" w:afterAutospacing="0" w:line="500" w:lineRule="exact"/>
        <w:ind w:right="29" w:rightChars="14"/>
        <w:jc w:val="center"/>
        <w:outlineLvl w:val="1"/>
        <w:rPr>
          <w:b/>
          <w:color w:val="auto"/>
          <w:kern w:val="2"/>
          <w:sz w:val="30"/>
          <w:szCs w:val="30"/>
          <w:highlight w:val="none"/>
        </w:rPr>
      </w:pPr>
    </w:p>
    <w:p w14:paraId="360FB1DD">
      <w:pPr>
        <w:pStyle w:val="23"/>
        <w:widowControl w:val="0"/>
        <w:spacing w:before="120" w:beforeAutospacing="0" w:after="120" w:afterAutospacing="0" w:line="500" w:lineRule="exact"/>
        <w:ind w:right="29" w:rightChars="14"/>
        <w:jc w:val="center"/>
        <w:outlineLvl w:val="1"/>
        <w:rPr>
          <w:b/>
          <w:color w:val="auto"/>
          <w:kern w:val="2"/>
          <w:sz w:val="30"/>
          <w:szCs w:val="30"/>
          <w:highlight w:val="none"/>
        </w:rPr>
      </w:pPr>
    </w:p>
    <w:p w14:paraId="301D9AF2">
      <w:pPr>
        <w:pStyle w:val="23"/>
        <w:widowControl w:val="0"/>
        <w:spacing w:before="120" w:beforeAutospacing="0" w:after="120" w:afterAutospacing="0" w:line="500" w:lineRule="exact"/>
        <w:ind w:right="29" w:rightChars="14"/>
        <w:jc w:val="center"/>
        <w:outlineLvl w:val="1"/>
        <w:rPr>
          <w:b/>
          <w:color w:val="auto"/>
          <w:kern w:val="2"/>
          <w:sz w:val="30"/>
          <w:szCs w:val="30"/>
          <w:highlight w:val="none"/>
        </w:rPr>
      </w:pPr>
    </w:p>
    <w:p w14:paraId="50E3CD6A">
      <w:pPr>
        <w:pStyle w:val="23"/>
        <w:widowControl w:val="0"/>
        <w:spacing w:before="120" w:beforeAutospacing="0" w:after="120" w:afterAutospacing="0" w:line="500" w:lineRule="exact"/>
        <w:ind w:right="29" w:rightChars="14"/>
        <w:jc w:val="both"/>
        <w:outlineLvl w:val="1"/>
        <w:rPr>
          <w:b/>
          <w:color w:val="auto"/>
          <w:kern w:val="2"/>
          <w:sz w:val="30"/>
          <w:szCs w:val="30"/>
          <w:highlight w:val="none"/>
        </w:rPr>
      </w:pPr>
    </w:p>
    <w:p w14:paraId="29EA6950">
      <w:pPr>
        <w:pStyle w:val="23"/>
        <w:widowControl w:val="0"/>
        <w:spacing w:before="120" w:beforeAutospacing="0" w:after="120" w:afterAutospacing="0" w:line="500" w:lineRule="exact"/>
        <w:ind w:right="29" w:rightChars="14"/>
        <w:jc w:val="center"/>
        <w:outlineLvl w:val="1"/>
        <w:rPr>
          <w:b/>
          <w:color w:val="auto"/>
          <w:sz w:val="28"/>
          <w:szCs w:val="28"/>
          <w:highlight w:val="none"/>
        </w:rPr>
      </w:pPr>
      <w:bookmarkStart w:id="328" w:name="_Toc28885"/>
      <w:bookmarkStart w:id="329" w:name="_Toc9732"/>
      <w:r>
        <w:rPr>
          <w:rFonts w:hint="eastAsia"/>
          <w:b/>
          <w:color w:val="auto"/>
          <w:kern w:val="2"/>
          <w:sz w:val="28"/>
          <w:szCs w:val="28"/>
          <w:highlight w:val="none"/>
        </w:rPr>
        <w:t>四、项目实施方案</w:t>
      </w:r>
      <w:bookmarkEnd w:id="326"/>
      <w:r>
        <w:rPr>
          <w:rFonts w:hint="eastAsia"/>
          <w:b/>
          <w:color w:val="auto"/>
          <w:kern w:val="2"/>
          <w:sz w:val="28"/>
          <w:szCs w:val="28"/>
          <w:highlight w:val="none"/>
        </w:rPr>
        <w:t>等</w:t>
      </w:r>
      <w:bookmarkEnd w:id="327"/>
      <w:bookmarkEnd w:id="328"/>
      <w:bookmarkEnd w:id="329"/>
    </w:p>
    <w:p w14:paraId="319528F4">
      <w:pPr>
        <w:ind w:left="420"/>
        <w:rPr>
          <w:rFonts w:ascii="宋体" w:hAnsi="宋体" w:cs="宋体"/>
          <w:b/>
          <w:color w:val="auto"/>
          <w:sz w:val="30"/>
          <w:szCs w:val="30"/>
          <w:highlight w:val="none"/>
        </w:rPr>
      </w:pPr>
    </w:p>
    <w:p w14:paraId="7B5A5859">
      <w:pPr>
        <w:ind w:left="420"/>
        <w:rPr>
          <w:rFonts w:ascii="宋体" w:hAnsi="宋体" w:cs="宋体"/>
          <w:b/>
          <w:color w:val="auto"/>
          <w:sz w:val="30"/>
          <w:szCs w:val="30"/>
          <w:highlight w:val="none"/>
        </w:rPr>
      </w:pPr>
    </w:p>
    <w:p w14:paraId="459EA244">
      <w:pPr>
        <w:ind w:left="420"/>
        <w:rPr>
          <w:rFonts w:ascii="宋体" w:hAnsi="宋体" w:cs="宋体"/>
          <w:b/>
          <w:color w:val="auto"/>
          <w:sz w:val="30"/>
          <w:szCs w:val="30"/>
          <w:highlight w:val="none"/>
        </w:rPr>
      </w:pPr>
    </w:p>
    <w:p w14:paraId="22239C19">
      <w:pPr>
        <w:ind w:left="420"/>
        <w:rPr>
          <w:rFonts w:ascii="宋体" w:hAnsi="宋体" w:cs="宋体"/>
          <w:b/>
          <w:color w:val="auto"/>
          <w:sz w:val="30"/>
          <w:szCs w:val="30"/>
          <w:highlight w:val="none"/>
        </w:rPr>
      </w:pPr>
    </w:p>
    <w:p w14:paraId="6CF600F3">
      <w:pPr>
        <w:ind w:left="420"/>
        <w:rPr>
          <w:rFonts w:ascii="宋体" w:hAnsi="宋体" w:cs="宋体"/>
          <w:b/>
          <w:color w:val="auto"/>
          <w:sz w:val="30"/>
          <w:szCs w:val="30"/>
          <w:highlight w:val="none"/>
        </w:rPr>
      </w:pPr>
    </w:p>
    <w:p w14:paraId="6F123874">
      <w:pPr>
        <w:ind w:left="420"/>
        <w:rPr>
          <w:rFonts w:ascii="宋体" w:hAnsi="宋体" w:cs="宋体"/>
          <w:b/>
          <w:color w:val="auto"/>
          <w:sz w:val="30"/>
          <w:szCs w:val="30"/>
          <w:highlight w:val="none"/>
        </w:rPr>
      </w:pPr>
    </w:p>
    <w:p w14:paraId="203A6172">
      <w:pPr>
        <w:ind w:left="420"/>
        <w:rPr>
          <w:rFonts w:ascii="宋体" w:hAnsi="宋体" w:cs="宋体"/>
          <w:b/>
          <w:color w:val="auto"/>
          <w:sz w:val="30"/>
          <w:szCs w:val="30"/>
          <w:highlight w:val="none"/>
        </w:rPr>
      </w:pPr>
    </w:p>
    <w:p w14:paraId="0E4063CF">
      <w:pPr>
        <w:ind w:left="420"/>
        <w:rPr>
          <w:rFonts w:ascii="宋体" w:hAnsi="宋体" w:cs="宋体"/>
          <w:b/>
          <w:color w:val="auto"/>
          <w:sz w:val="30"/>
          <w:szCs w:val="30"/>
          <w:highlight w:val="none"/>
        </w:rPr>
      </w:pPr>
    </w:p>
    <w:p w14:paraId="1A5EFFC0">
      <w:pPr>
        <w:ind w:left="420"/>
        <w:rPr>
          <w:rFonts w:ascii="宋体" w:hAnsi="宋体" w:cs="宋体"/>
          <w:b/>
          <w:color w:val="auto"/>
          <w:sz w:val="30"/>
          <w:szCs w:val="30"/>
          <w:highlight w:val="none"/>
        </w:rPr>
      </w:pPr>
    </w:p>
    <w:p w14:paraId="33E1D3EB">
      <w:pPr>
        <w:ind w:left="420"/>
        <w:rPr>
          <w:rFonts w:ascii="宋体" w:hAnsi="宋体" w:cs="宋体"/>
          <w:b/>
          <w:color w:val="auto"/>
          <w:sz w:val="30"/>
          <w:szCs w:val="30"/>
          <w:highlight w:val="none"/>
        </w:rPr>
      </w:pPr>
    </w:p>
    <w:p w14:paraId="3B104417">
      <w:pPr>
        <w:ind w:left="420"/>
        <w:rPr>
          <w:rFonts w:ascii="宋体" w:hAnsi="宋体" w:cs="宋体"/>
          <w:b/>
          <w:color w:val="auto"/>
          <w:sz w:val="30"/>
          <w:szCs w:val="30"/>
          <w:highlight w:val="none"/>
        </w:rPr>
      </w:pPr>
    </w:p>
    <w:p w14:paraId="6E0A688E">
      <w:pPr>
        <w:rPr>
          <w:rFonts w:ascii="宋体" w:hAnsi="宋体" w:cs="宋体"/>
          <w:b/>
          <w:color w:val="auto"/>
          <w:sz w:val="30"/>
          <w:szCs w:val="30"/>
          <w:highlight w:val="none"/>
        </w:rPr>
      </w:pPr>
    </w:p>
    <w:p w14:paraId="45362395">
      <w:pPr>
        <w:rPr>
          <w:rFonts w:ascii="宋体" w:hAnsi="宋体" w:cs="宋体"/>
          <w:b/>
          <w:color w:val="auto"/>
          <w:sz w:val="30"/>
          <w:szCs w:val="30"/>
          <w:highlight w:val="none"/>
        </w:rPr>
      </w:pPr>
    </w:p>
    <w:p w14:paraId="757302F3">
      <w:pPr>
        <w:rPr>
          <w:rFonts w:ascii="宋体" w:hAnsi="宋体" w:cs="宋体"/>
          <w:b/>
          <w:color w:val="auto"/>
          <w:sz w:val="30"/>
          <w:szCs w:val="30"/>
          <w:highlight w:val="none"/>
        </w:rPr>
      </w:pPr>
    </w:p>
    <w:p w14:paraId="38422E1F">
      <w:pPr>
        <w:rPr>
          <w:rFonts w:ascii="宋体" w:hAnsi="宋体" w:cs="宋体"/>
          <w:b/>
          <w:color w:val="auto"/>
          <w:sz w:val="30"/>
          <w:szCs w:val="30"/>
          <w:highlight w:val="none"/>
        </w:rPr>
      </w:pPr>
    </w:p>
    <w:p w14:paraId="1A3FE772">
      <w:pPr>
        <w:rPr>
          <w:rFonts w:ascii="宋体" w:hAnsi="宋体" w:cs="宋体"/>
          <w:b/>
          <w:color w:val="auto"/>
          <w:sz w:val="30"/>
          <w:szCs w:val="30"/>
          <w:highlight w:val="none"/>
        </w:rPr>
      </w:pPr>
    </w:p>
    <w:p w14:paraId="2CF17993">
      <w:pPr>
        <w:rPr>
          <w:rFonts w:ascii="宋体" w:hAnsi="宋体" w:cs="宋体"/>
          <w:b/>
          <w:color w:val="auto"/>
          <w:sz w:val="30"/>
          <w:szCs w:val="30"/>
          <w:highlight w:val="none"/>
        </w:rPr>
      </w:pPr>
    </w:p>
    <w:p w14:paraId="29D2490A">
      <w:pPr>
        <w:rPr>
          <w:rFonts w:ascii="宋体" w:hAnsi="宋体" w:cs="宋体"/>
          <w:b/>
          <w:color w:val="auto"/>
          <w:sz w:val="30"/>
          <w:szCs w:val="30"/>
          <w:highlight w:val="none"/>
        </w:rPr>
      </w:pPr>
    </w:p>
    <w:p w14:paraId="753F501D">
      <w:pPr>
        <w:rPr>
          <w:rFonts w:ascii="宋体" w:hAnsi="宋体" w:cs="宋体"/>
          <w:b/>
          <w:color w:val="auto"/>
          <w:sz w:val="30"/>
          <w:szCs w:val="30"/>
          <w:highlight w:val="none"/>
        </w:rPr>
      </w:pPr>
    </w:p>
    <w:p w14:paraId="255D203E">
      <w:pPr>
        <w:rPr>
          <w:rFonts w:ascii="宋体" w:hAnsi="宋体" w:cs="宋体"/>
          <w:b/>
          <w:color w:val="auto"/>
          <w:sz w:val="30"/>
          <w:szCs w:val="30"/>
          <w:highlight w:val="none"/>
        </w:rPr>
      </w:pPr>
    </w:p>
    <w:p w14:paraId="489C6A92">
      <w:pPr>
        <w:rPr>
          <w:rFonts w:ascii="宋体" w:hAnsi="宋体" w:cs="宋体"/>
          <w:b/>
          <w:color w:val="auto"/>
          <w:sz w:val="30"/>
          <w:szCs w:val="30"/>
          <w:highlight w:val="none"/>
        </w:rPr>
      </w:pPr>
    </w:p>
    <w:p w14:paraId="410ACD6B">
      <w:pPr>
        <w:rPr>
          <w:rFonts w:ascii="宋体" w:hAnsi="宋体" w:cs="宋体"/>
          <w:b/>
          <w:color w:val="auto"/>
          <w:sz w:val="30"/>
          <w:szCs w:val="30"/>
          <w:highlight w:val="none"/>
        </w:rPr>
      </w:pPr>
    </w:p>
    <w:p w14:paraId="5DE5654C">
      <w:pPr>
        <w:rPr>
          <w:rFonts w:ascii="宋体" w:hAnsi="宋体" w:cs="宋体"/>
          <w:b/>
          <w:color w:val="auto"/>
          <w:sz w:val="30"/>
          <w:szCs w:val="30"/>
          <w:highlight w:val="none"/>
        </w:rPr>
      </w:pPr>
    </w:p>
    <w:p w14:paraId="5CE44A7A">
      <w:pPr>
        <w:rPr>
          <w:rFonts w:ascii="宋体" w:hAnsi="宋体" w:cs="宋体"/>
          <w:b/>
          <w:color w:val="auto"/>
          <w:sz w:val="30"/>
          <w:szCs w:val="30"/>
          <w:highlight w:val="none"/>
        </w:rPr>
      </w:pPr>
    </w:p>
    <w:p w14:paraId="140B955F">
      <w:pPr>
        <w:rPr>
          <w:rFonts w:ascii="宋体" w:hAnsi="宋体" w:cs="宋体"/>
          <w:b/>
          <w:color w:val="auto"/>
          <w:sz w:val="30"/>
          <w:szCs w:val="30"/>
          <w:highlight w:val="none"/>
        </w:rPr>
      </w:pPr>
    </w:p>
    <w:p w14:paraId="2CAD28DE">
      <w:pPr>
        <w:rPr>
          <w:rFonts w:ascii="宋体" w:hAnsi="宋体" w:cs="宋体"/>
          <w:b/>
          <w:color w:val="auto"/>
          <w:sz w:val="30"/>
          <w:szCs w:val="30"/>
          <w:highlight w:val="none"/>
        </w:rPr>
      </w:pPr>
    </w:p>
    <w:p w14:paraId="4D8A0D96">
      <w:pPr>
        <w:rPr>
          <w:rFonts w:ascii="宋体" w:hAnsi="宋体" w:cs="宋体"/>
          <w:b/>
          <w:color w:val="auto"/>
          <w:sz w:val="30"/>
          <w:szCs w:val="30"/>
          <w:highlight w:val="none"/>
        </w:rPr>
      </w:pPr>
    </w:p>
    <w:p w14:paraId="0BD6BBCF">
      <w:pPr>
        <w:ind w:left="420"/>
        <w:rPr>
          <w:rFonts w:ascii="宋体" w:hAnsi="宋体" w:cs="宋体"/>
          <w:b/>
          <w:color w:val="auto"/>
          <w:sz w:val="30"/>
          <w:szCs w:val="30"/>
          <w:highlight w:val="none"/>
        </w:rPr>
      </w:pPr>
    </w:p>
    <w:p w14:paraId="270F07E0">
      <w:pPr>
        <w:pStyle w:val="23"/>
        <w:widowControl w:val="0"/>
        <w:spacing w:before="120" w:beforeAutospacing="0" w:after="120" w:afterAutospacing="0" w:line="500" w:lineRule="exact"/>
        <w:ind w:right="29" w:rightChars="14"/>
        <w:jc w:val="center"/>
        <w:rPr>
          <w:color w:val="auto"/>
          <w:sz w:val="30"/>
          <w:szCs w:val="30"/>
          <w:highlight w:val="none"/>
        </w:rPr>
      </w:pPr>
      <w:bookmarkStart w:id="330" w:name="_Toc10043"/>
    </w:p>
    <w:p w14:paraId="612BD7B3">
      <w:pPr>
        <w:pStyle w:val="23"/>
        <w:widowControl w:val="0"/>
        <w:spacing w:before="120" w:beforeAutospacing="0" w:after="120" w:afterAutospacing="0" w:line="500" w:lineRule="exact"/>
        <w:ind w:right="29" w:rightChars="14"/>
        <w:jc w:val="center"/>
        <w:rPr>
          <w:color w:val="auto"/>
          <w:sz w:val="30"/>
          <w:szCs w:val="30"/>
          <w:highlight w:val="none"/>
        </w:rPr>
      </w:pPr>
    </w:p>
    <w:p w14:paraId="5F448026">
      <w:pPr>
        <w:pStyle w:val="23"/>
        <w:widowControl w:val="0"/>
        <w:spacing w:before="120" w:beforeAutospacing="0" w:after="120" w:afterAutospacing="0" w:line="500" w:lineRule="exact"/>
        <w:ind w:right="29" w:rightChars="14"/>
        <w:jc w:val="center"/>
        <w:rPr>
          <w:color w:val="auto"/>
          <w:sz w:val="30"/>
          <w:szCs w:val="30"/>
          <w:highlight w:val="none"/>
        </w:rPr>
      </w:pPr>
    </w:p>
    <w:p w14:paraId="332C08F5">
      <w:pPr>
        <w:autoSpaceDE w:val="0"/>
        <w:autoSpaceDN w:val="0"/>
        <w:adjustRightInd w:val="0"/>
        <w:spacing w:line="440" w:lineRule="exact"/>
        <w:jc w:val="center"/>
        <w:rPr>
          <w:rFonts w:ascii="宋体" w:hAnsi="宋体" w:cs="宋体"/>
          <w:b/>
          <w:color w:val="auto"/>
          <w:sz w:val="30"/>
          <w:szCs w:val="30"/>
          <w:highlight w:val="none"/>
        </w:rPr>
      </w:pPr>
    </w:p>
    <w:p w14:paraId="3CC5C952">
      <w:pPr>
        <w:pStyle w:val="23"/>
        <w:widowControl w:val="0"/>
        <w:tabs>
          <w:tab w:val="left" w:pos="0"/>
        </w:tabs>
        <w:spacing w:before="0" w:beforeAutospacing="0" w:after="0" w:afterAutospacing="0" w:line="360" w:lineRule="auto"/>
        <w:jc w:val="center"/>
        <w:outlineLvl w:val="1"/>
        <w:rPr>
          <w:b/>
          <w:color w:val="auto"/>
          <w:kern w:val="2"/>
          <w:sz w:val="28"/>
          <w:szCs w:val="28"/>
          <w:highlight w:val="none"/>
        </w:rPr>
      </w:pPr>
      <w:bookmarkStart w:id="331" w:name="_Toc30146"/>
      <w:bookmarkStart w:id="332" w:name="_Toc29492"/>
      <w:bookmarkStart w:id="333" w:name="_Toc20650"/>
      <w:bookmarkStart w:id="334" w:name="_Toc19465"/>
      <w:bookmarkStart w:id="335" w:name="_Toc21039"/>
      <w:r>
        <w:rPr>
          <w:rFonts w:hint="eastAsia"/>
          <w:b/>
          <w:color w:val="auto"/>
          <w:kern w:val="2"/>
          <w:sz w:val="28"/>
          <w:szCs w:val="28"/>
          <w:highlight w:val="none"/>
        </w:rPr>
        <w:t>五、</w:t>
      </w:r>
      <w:bookmarkEnd w:id="330"/>
      <w:bookmarkEnd w:id="331"/>
      <w:bookmarkEnd w:id="332"/>
      <w:bookmarkEnd w:id="333"/>
      <w:r>
        <w:rPr>
          <w:rFonts w:hint="eastAsia"/>
          <w:b/>
          <w:color w:val="auto"/>
          <w:kern w:val="2"/>
          <w:sz w:val="28"/>
          <w:szCs w:val="28"/>
          <w:highlight w:val="none"/>
        </w:rPr>
        <w:t>供应商的资格证明承诺函</w:t>
      </w:r>
      <w:bookmarkEnd w:id="334"/>
      <w:bookmarkEnd w:id="335"/>
    </w:p>
    <w:p w14:paraId="2FE1FEA9">
      <w:pPr>
        <w:widowControl/>
        <w:spacing w:line="360" w:lineRule="auto"/>
        <w:jc w:val="left"/>
        <w:rPr>
          <w:rFonts w:ascii="宋体" w:hAnsi="宋体" w:cs="宋体"/>
          <w:color w:val="auto"/>
          <w:sz w:val="24"/>
          <w:szCs w:val="21"/>
          <w:highlight w:val="none"/>
        </w:rPr>
      </w:pPr>
      <w:r>
        <w:rPr>
          <w:rFonts w:hint="eastAsia" w:ascii="宋体" w:hAnsi="宋体" w:cs="宋体"/>
          <w:color w:val="auto"/>
          <w:sz w:val="24"/>
          <w:szCs w:val="21"/>
          <w:highlight w:val="none"/>
        </w:rPr>
        <w:t xml:space="preserve">致(采购人)：_________________________________ </w:t>
      </w:r>
    </w:p>
    <w:p w14:paraId="3514AE4F">
      <w:pPr>
        <w:widowControl/>
        <w:spacing w:line="360" w:lineRule="auto"/>
        <w:jc w:val="left"/>
        <w:rPr>
          <w:rFonts w:ascii="宋体" w:hAnsi="宋体" w:cs="宋体"/>
          <w:color w:val="auto"/>
          <w:sz w:val="24"/>
          <w:szCs w:val="21"/>
          <w:highlight w:val="none"/>
        </w:rPr>
      </w:pPr>
      <w:r>
        <w:rPr>
          <w:rFonts w:hint="eastAsia" w:ascii="宋体" w:hAnsi="宋体" w:cs="宋体"/>
          <w:color w:val="auto"/>
          <w:sz w:val="24"/>
          <w:szCs w:val="21"/>
          <w:highlight w:val="none"/>
        </w:rPr>
        <w:t>供应商名称： ________________________________</w:t>
      </w:r>
    </w:p>
    <w:p w14:paraId="2338060D">
      <w:pPr>
        <w:widowControl/>
        <w:spacing w:line="360" w:lineRule="auto"/>
        <w:jc w:val="left"/>
        <w:rPr>
          <w:rFonts w:ascii="宋体" w:hAnsi="宋体" w:cs="宋体"/>
          <w:color w:val="auto"/>
          <w:sz w:val="24"/>
          <w:szCs w:val="21"/>
          <w:highlight w:val="none"/>
        </w:rPr>
      </w:pPr>
      <w:r>
        <w:rPr>
          <w:rFonts w:hint="eastAsia" w:ascii="宋体" w:hAnsi="宋体" w:cs="宋体"/>
          <w:color w:val="auto"/>
          <w:sz w:val="24"/>
          <w:szCs w:val="21"/>
          <w:highlight w:val="none"/>
        </w:rPr>
        <w:t>统一社会信用代码：___________________________</w:t>
      </w:r>
    </w:p>
    <w:p w14:paraId="7D7F7E90">
      <w:pPr>
        <w:widowControl/>
        <w:spacing w:line="360" w:lineRule="auto"/>
        <w:jc w:val="left"/>
        <w:rPr>
          <w:rFonts w:ascii="宋体" w:hAnsi="宋体" w:cs="宋体"/>
          <w:color w:val="auto"/>
          <w:sz w:val="24"/>
          <w:szCs w:val="21"/>
          <w:highlight w:val="none"/>
        </w:rPr>
      </w:pPr>
      <w:r>
        <w:rPr>
          <w:rFonts w:hint="eastAsia" w:ascii="宋体" w:hAnsi="宋体" w:cs="宋体"/>
          <w:color w:val="auto"/>
          <w:sz w:val="24"/>
          <w:szCs w:val="21"/>
          <w:highlight w:val="none"/>
        </w:rPr>
        <w:t>供应商地址：_________________________________</w:t>
      </w:r>
    </w:p>
    <w:p w14:paraId="545AF77E">
      <w:pPr>
        <w:widowControl/>
        <w:spacing w:line="360" w:lineRule="auto"/>
        <w:ind w:firstLine="480" w:firstLineChars="200"/>
        <w:jc w:val="left"/>
        <w:rPr>
          <w:rFonts w:ascii="宋体" w:hAnsi="宋体" w:cs="宋体"/>
          <w:color w:val="auto"/>
          <w:sz w:val="24"/>
          <w:szCs w:val="21"/>
          <w:highlight w:val="none"/>
        </w:rPr>
      </w:pPr>
      <w:r>
        <w:rPr>
          <w:rFonts w:hint="eastAsia" w:ascii="宋体" w:hAnsi="宋体" w:cs="宋体"/>
          <w:color w:val="auto"/>
          <w:sz w:val="24"/>
          <w:szCs w:val="21"/>
          <w:highlight w:val="none"/>
        </w:rPr>
        <w:t>我单位自愿参加本次政府采购活动，严格遵守《中华人民共和国政府采购法》及相关法律法规，依法诚信经营，无条件遵守本次政府采购活动的各项规定。我单位郑重承诺：</w:t>
      </w:r>
    </w:p>
    <w:p w14:paraId="64C75DA0">
      <w:pPr>
        <w:widowControl/>
        <w:spacing w:line="360" w:lineRule="auto"/>
        <w:ind w:firstLine="480" w:firstLineChars="200"/>
        <w:jc w:val="left"/>
        <w:rPr>
          <w:rFonts w:ascii="宋体" w:hAnsi="宋体" w:cs="宋体"/>
          <w:color w:val="auto"/>
          <w:sz w:val="24"/>
          <w:szCs w:val="21"/>
          <w:highlight w:val="none"/>
        </w:rPr>
      </w:pPr>
      <w:r>
        <w:rPr>
          <w:rFonts w:hint="eastAsia" w:ascii="宋体" w:hAnsi="宋体" w:cs="宋体"/>
          <w:color w:val="auto"/>
          <w:sz w:val="24"/>
          <w:szCs w:val="21"/>
          <w:highlight w:val="none"/>
        </w:rPr>
        <w:t>一、我单位具有有效的营业执照（三证合一）；</w:t>
      </w:r>
    </w:p>
    <w:p w14:paraId="4A35D2DB">
      <w:pPr>
        <w:widowControl/>
        <w:spacing w:line="360" w:lineRule="auto"/>
        <w:ind w:firstLine="480" w:firstLineChars="200"/>
        <w:jc w:val="left"/>
        <w:rPr>
          <w:rFonts w:ascii="宋体" w:hAnsi="宋体" w:cs="宋体"/>
          <w:color w:val="auto"/>
          <w:sz w:val="24"/>
          <w:szCs w:val="21"/>
          <w:highlight w:val="none"/>
        </w:rPr>
      </w:pPr>
      <w:r>
        <w:rPr>
          <w:rFonts w:hint="eastAsia" w:ascii="宋体" w:hAnsi="宋体" w:cs="宋体"/>
          <w:color w:val="auto"/>
          <w:sz w:val="24"/>
          <w:szCs w:val="21"/>
          <w:highlight w:val="none"/>
        </w:rPr>
        <w:t xml:space="preserve">二、我单位符合《中华人民共和国政府采购法》第二十二条规定的条件： </w:t>
      </w:r>
    </w:p>
    <w:p w14:paraId="72AAE3A1">
      <w:pPr>
        <w:widowControl/>
        <w:spacing w:line="360" w:lineRule="auto"/>
        <w:ind w:firstLine="480" w:firstLineChars="200"/>
        <w:jc w:val="left"/>
        <w:rPr>
          <w:rFonts w:ascii="宋体" w:hAnsi="宋体" w:cs="宋体"/>
          <w:color w:val="auto"/>
          <w:sz w:val="24"/>
          <w:szCs w:val="21"/>
          <w:highlight w:val="none"/>
        </w:rPr>
      </w:pPr>
      <w:r>
        <w:rPr>
          <w:rFonts w:hint="eastAsia" w:ascii="宋体" w:hAnsi="宋体" w:cs="宋体"/>
          <w:color w:val="auto"/>
          <w:sz w:val="24"/>
          <w:szCs w:val="21"/>
          <w:highlight w:val="none"/>
        </w:rPr>
        <w:t xml:space="preserve">1.我单位具有符合采购文件资格要求的独立承担民事责任的能力； </w:t>
      </w:r>
    </w:p>
    <w:p w14:paraId="3D868351">
      <w:pPr>
        <w:widowControl/>
        <w:spacing w:line="360" w:lineRule="auto"/>
        <w:ind w:firstLine="480" w:firstLineChars="200"/>
        <w:jc w:val="left"/>
        <w:rPr>
          <w:rFonts w:ascii="宋体" w:hAnsi="宋体" w:cs="宋体"/>
          <w:color w:val="auto"/>
          <w:sz w:val="24"/>
          <w:szCs w:val="21"/>
          <w:highlight w:val="none"/>
        </w:rPr>
      </w:pPr>
      <w:r>
        <w:rPr>
          <w:rFonts w:hint="eastAsia" w:ascii="宋体" w:hAnsi="宋体" w:cs="宋体"/>
          <w:color w:val="auto"/>
          <w:sz w:val="24"/>
          <w:szCs w:val="21"/>
          <w:highlight w:val="none"/>
        </w:rPr>
        <w:t xml:space="preserve">2.我单位具有符合采购文件资格要求的财务状况报告； </w:t>
      </w:r>
    </w:p>
    <w:p w14:paraId="489D6D3F">
      <w:pPr>
        <w:widowControl/>
        <w:spacing w:line="360" w:lineRule="auto"/>
        <w:ind w:firstLine="480" w:firstLineChars="200"/>
        <w:jc w:val="left"/>
        <w:rPr>
          <w:rFonts w:ascii="宋体" w:hAnsi="宋体" w:cs="宋体"/>
          <w:color w:val="auto"/>
          <w:sz w:val="24"/>
          <w:szCs w:val="21"/>
          <w:highlight w:val="none"/>
        </w:rPr>
      </w:pPr>
      <w:r>
        <w:rPr>
          <w:rFonts w:hint="eastAsia" w:ascii="宋体" w:hAnsi="宋体" w:cs="宋体"/>
          <w:color w:val="auto"/>
          <w:sz w:val="24"/>
          <w:szCs w:val="21"/>
          <w:highlight w:val="none"/>
        </w:rPr>
        <w:t xml:space="preserve">3.我单位具有符合采购文件资格要求的依法缴纳税收和社会保障记录的良好记录。 </w:t>
      </w:r>
    </w:p>
    <w:p w14:paraId="3EE2D229">
      <w:pPr>
        <w:widowControl/>
        <w:spacing w:line="360" w:lineRule="auto"/>
        <w:ind w:firstLine="480" w:firstLineChars="200"/>
        <w:jc w:val="left"/>
        <w:rPr>
          <w:rFonts w:ascii="宋体" w:hAnsi="宋体" w:cs="宋体"/>
          <w:color w:val="auto"/>
          <w:sz w:val="24"/>
          <w:szCs w:val="21"/>
          <w:highlight w:val="none"/>
        </w:rPr>
      </w:pPr>
      <w:r>
        <w:rPr>
          <w:rFonts w:hint="eastAsia" w:ascii="宋体" w:hAnsi="宋体" w:cs="宋体"/>
          <w:color w:val="auto"/>
          <w:sz w:val="24"/>
          <w:szCs w:val="21"/>
          <w:highlight w:val="none"/>
        </w:rPr>
        <w:t xml:space="preserve">4.我单位具有符合采购文件资格要求的履行合同所必需的设备和专业技术能力； </w:t>
      </w:r>
    </w:p>
    <w:p w14:paraId="6E78AB93">
      <w:pPr>
        <w:widowControl/>
        <w:spacing w:line="360" w:lineRule="auto"/>
        <w:ind w:firstLine="480" w:firstLineChars="200"/>
        <w:jc w:val="left"/>
        <w:rPr>
          <w:rFonts w:ascii="宋体" w:hAnsi="宋体" w:cs="宋体"/>
          <w:color w:val="auto"/>
          <w:sz w:val="24"/>
          <w:szCs w:val="21"/>
          <w:highlight w:val="none"/>
        </w:rPr>
      </w:pPr>
      <w:r>
        <w:rPr>
          <w:rFonts w:hint="eastAsia" w:ascii="宋体" w:hAnsi="宋体" w:cs="宋体"/>
          <w:color w:val="auto"/>
          <w:sz w:val="24"/>
          <w:szCs w:val="21"/>
          <w:highlight w:val="none"/>
        </w:rPr>
        <w:t xml:space="preserve">5.我单位参加政府采购活动前三年内，在经营活动中没有重大违法记录。 </w:t>
      </w:r>
    </w:p>
    <w:p w14:paraId="56AF6F96">
      <w:pPr>
        <w:pStyle w:val="3"/>
        <w:keepNext w:val="0"/>
        <w:keepLines w:val="0"/>
        <w:spacing w:before="0" w:line="360" w:lineRule="auto"/>
        <w:ind w:firstLine="482" w:firstLineChars="200"/>
        <w:rPr>
          <w:rFonts w:ascii="宋体" w:hAnsi="宋体" w:cs="宋体"/>
          <w:color w:val="auto"/>
          <w:sz w:val="24"/>
          <w:szCs w:val="21"/>
          <w:highlight w:val="none"/>
        </w:rPr>
      </w:pPr>
      <w:bookmarkStart w:id="336" w:name="_Toc19168"/>
      <w:bookmarkStart w:id="337" w:name="_Toc25215"/>
      <w:bookmarkStart w:id="338" w:name="_Toc27289"/>
      <w:r>
        <w:rPr>
          <w:rFonts w:hint="eastAsia" w:ascii="宋体" w:hAnsi="宋体" w:cs="宋体"/>
          <w:color w:val="auto"/>
          <w:sz w:val="24"/>
          <w:szCs w:val="21"/>
          <w:highlight w:val="none"/>
        </w:rPr>
        <w:t>若我单位承诺不实，自愿承担提供虚假材料谋取中标、成交的法律责任。</w:t>
      </w:r>
      <w:bookmarkEnd w:id="336"/>
      <w:bookmarkEnd w:id="337"/>
      <w:bookmarkEnd w:id="338"/>
      <w:r>
        <w:rPr>
          <w:rFonts w:hint="eastAsia" w:ascii="宋体" w:hAnsi="宋体" w:cs="宋体"/>
          <w:color w:val="auto"/>
          <w:sz w:val="24"/>
          <w:szCs w:val="21"/>
          <w:highlight w:val="none"/>
        </w:rPr>
        <w:t xml:space="preserve"> </w:t>
      </w:r>
    </w:p>
    <w:p w14:paraId="3CD7D3A6">
      <w:pPr>
        <w:widowControl/>
        <w:spacing w:line="480" w:lineRule="exact"/>
        <w:jc w:val="right"/>
        <w:rPr>
          <w:rFonts w:ascii="宋体" w:hAnsi="宋体" w:cs="宋体"/>
          <w:color w:val="auto"/>
          <w:sz w:val="24"/>
          <w:szCs w:val="21"/>
          <w:highlight w:val="none"/>
        </w:rPr>
      </w:pPr>
      <w:r>
        <w:rPr>
          <w:rFonts w:hint="eastAsia" w:ascii="宋体" w:hAnsi="宋体" w:cs="宋体"/>
          <w:color w:val="auto"/>
          <w:sz w:val="24"/>
          <w:szCs w:val="21"/>
          <w:highlight w:val="none"/>
        </w:rPr>
        <w:t>承诺供应商（</w:t>
      </w:r>
      <w:r>
        <w:rPr>
          <w:rFonts w:hint="eastAsia" w:ascii="宋体" w:hAnsi="宋体" w:cs="宋体"/>
          <w:color w:val="auto"/>
          <w:sz w:val="24"/>
          <w:highlight w:val="none"/>
        </w:rPr>
        <w:t>企业电子签章</w:t>
      </w:r>
      <w:r>
        <w:rPr>
          <w:rFonts w:hint="eastAsia" w:ascii="宋体" w:hAnsi="宋体" w:cs="宋体"/>
          <w:color w:val="auto"/>
          <w:sz w:val="24"/>
          <w:szCs w:val="21"/>
          <w:highlight w:val="none"/>
        </w:rPr>
        <w:t xml:space="preserve">）：__________________ </w:t>
      </w:r>
    </w:p>
    <w:p w14:paraId="093705CF">
      <w:pPr>
        <w:widowControl/>
        <w:spacing w:line="480" w:lineRule="exact"/>
        <w:jc w:val="right"/>
        <w:rPr>
          <w:rFonts w:ascii="宋体" w:hAnsi="宋体" w:cs="宋体"/>
          <w:color w:val="auto"/>
          <w:sz w:val="24"/>
          <w:szCs w:val="21"/>
          <w:highlight w:val="none"/>
        </w:rPr>
      </w:pPr>
    </w:p>
    <w:p w14:paraId="6E9D74DF">
      <w:pPr>
        <w:widowControl/>
        <w:spacing w:line="480" w:lineRule="exact"/>
        <w:jc w:val="right"/>
        <w:rPr>
          <w:rFonts w:ascii="宋体" w:hAnsi="宋体" w:cs="宋体"/>
          <w:color w:val="auto"/>
          <w:sz w:val="24"/>
          <w:szCs w:val="21"/>
          <w:highlight w:val="none"/>
        </w:rPr>
      </w:pPr>
      <w:r>
        <w:rPr>
          <w:rFonts w:hint="eastAsia" w:ascii="宋体" w:hAnsi="宋体" w:cs="宋体"/>
          <w:color w:val="auto"/>
          <w:sz w:val="24"/>
          <w:szCs w:val="21"/>
          <w:highlight w:val="none"/>
        </w:rPr>
        <w:t xml:space="preserve">法定代表人或授权代表(签字或签章)：__________________ </w:t>
      </w:r>
    </w:p>
    <w:p w14:paraId="362C4F86">
      <w:pPr>
        <w:widowControl/>
        <w:spacing w:line="480" w:lineRule="exact"/>
        <w:jc w:val="right"/>
        <w:rPr>
          <w:rFonts w:ascii="宋体" w:hAnsi="宋体" w:cs="宋体"/>
          <w:color w:val="auto"/>
          <w:sz w:val="24"/>
          <w:szCs w:val="21"/>
          <w:highlight w:val="none"/>
        </w:rPr>
      </w:pPr>
    </w:p>
    <w:p w14:paraId="774E03B1">
      <w:pPr>
        <w:widowControl/>
        <w:spacing w:line="480" w:lineRule="exact"/>
        <w:jc w:val="right"/>
        <w:rPr>
          <w:rFonts w:ascii="宋体" w:hAnsi="宋体" w:cs="宋体"/>
          <w:color w:val="auto"/>
          <w:sz w:val="24"/>
          <w:szCs w:val="21"/>
          <w:highlight w:val="none"/>
        </w:rPr>
      </w:pPr>
      <w:r>
        <w:rPr>
          <w:rFonts w:hint="eastAsia" w:ascii="宋体" w:hAnsi="宋体" w:cs="宋体"/>
          <w:color w:val="auto"/>
          <w:sz w:val="24"/>
          <w:szCs w:val="21"/>
          <w:highlight w:val="none"/>
        </w:rPr>
        <w:t>日期：_____年___ 月____ 日</w:t>
      </w:r>
    </w:p>
    <w:p w14:paraId="31E2464F">
      <w:pPr>
        <w:rPr>
          <w:rFonts w:hint="eastAsia" w:ascii="宋体" w:hAnsi="宋体" w:cs="宋体"/>
          <w:b/>
          <w:bCs/>
          <w:color w:val="auto"/>
          <w:spacing w:val="8"/>
          <w:highlight w:val="none"/>
          <w:shd w:val="clear" w:color="auto" w:fill="FFFFFF"/>
        </w:rPr>
      </w:pPr>
      <w:r>
        <w:rPr>
          <w:rFonts w:hint="eastAsia" w:ascii="宋体" w:hAnsi="宋体" w:cs="宋体"/>
          <w:b/>
          <w:bCs/>
          <w:color w:val="auto"/>
          <w:spacing w:val="8"/>
          <w:highlight w:val="none"/>
          <w:shd w:val="clear" w:color="auto" w:fill="FFFFFF"/>
        </w:rPr>
        <w:t xml:space="preserve">   </w:t>
      </w:r>
    </w:p>
    <w:p w14:paraId="3414C7C5">
      <w:pPr>
        <w:ind w:firstLine="454" w:firstLineChars="200"/>
        <w:rPr>
          <w:rFonts w:ascii="宋体" w:hAnsi="宋体" w:cs="宋体"/>
          <w:b/>
          <w:bCs/>
          <w:color w:val="auto"/>
          <w:spacing w:val="8"/>
          <w:highlight w:val="none"/>
          <w:shd w:val="clear" w:color="auto" w:fill="FFFFFF"/>
        </w:rPr>
      </w:pPr>
      <w:r>
        <w:rPr>
          <w:rFonts w:hint="eastAsia" w:ascii="宋体" w:hAnsi="宋体" w:cs="宋体"/>
          <w:b/>
          <w:bCs/>
          <w:color w:val="auto"/>
          <w:spacing w:val="8"/>
          <w:highlight w:val="none"/>
          <w:shd w:val="clear" w:color="auto" w:fill="FFFFFF"/>
        </w:rPr>
        <w:t>注：供应商须在投标文件中按此模板提供承诺函，未提供视为未实质性响应招标文件要求，按无效投标处理。</w:t>
      </w:r>
      <w:r>
        <w:rPr>
          <w:rFonts w:hint="eastAsia" w:ascii="宋体" w:hAnsi="宋体" w:cs="宋体"/>
          <w:b/>
          <w:bCs/>
          <w:color w:val="auto"/>
          <w:spacing w:val="8"/>
          <w:highlight w:val="none"/>
          <w:shd w:val="clear" w:color="auto" w:fill="FFFFFF"/>
        </w:rPr>
        <w:br w:type="page"/>
      </w:r>
    </w:p>
    <w:p w14:paraId="72F6EC81">
      <w:pPr>
        <w:pStyle w:val="23"/>
        <w:widowControl w:val="0"/>
        <w:tabs>
          <w:tab w:val="left" w:pos="0"/>
        </w:tabs>
        <w:spacing w:before="0" w:beforeAutospacing="0" w:after="0" w:afterAutospacing="0" w:line="360" w:lineRule="auto"/>
        <w:jc w:val="center"/>
        <w:outlineLvl w:val="1"/>
        <w:rPr>
          <w:b/>
          <w:color w:val="auto"/>
          <w:kern w:val="2"/>
          <w:sz w:val="28"/>
          <w:szCs w:val="28"/>
          <w:highlight w:val="none"/>
        </w:rPr>
      </w:pPr>
      <w:bookmarkStart w:id="339" w:name="_Toc18364"/>
      <w:bookmarkStart w:id="340" w:name="_Toc19134"/>
      <w:bookmarkStart w:id="341" w:name="_Toc4390"/>
      <w:bookmarkStart w:id="342" w:name="_Toc8330"/>
      <w:bookmarkStart w:id="343" w:name="_Toc6465"/>
      <w:bookmarkStart w:id="344" w:name="_Toc31553"/>
      <w:r>
        <w:rPr>
          <w:rFonts w:hint="eastAsia"/>
          <w:b/>
          <w:color w:val="auto"/>
          <w:kern w:val="2"/>
          <w:sz w:val="28"/>
          <w:szCs w:val="28"/>
          <w:highlight w:val="none"/>
        </w:rPr>
        <w:t>六、供应商服务承诺和优惠承诺</w:t>
      </w:r>
      <w:bookmarkEnd w:id="339"/>
      <w:bookmarkEnd w:id="340"/>
      <w:bookmarkEnd w:id="341"/>
    </w:p>
    <w:p w14:paraId="6AC41F88">
      <w:pPr>
        <w:pStyle w:val="23"/>
        <w:widowControl w:val="0"/>
        <w:tabs>
          <w:tab w:val="left" w:pos="0"/>
        </w:tabs>
        <w:spacing w:before="120" w:beforeAutospacing="0" w:after="120" w:afterAutospacing="0" w:line="500" w:lineRule="exact"/>
        <w:ind w:right="29" w:rightChars="14"/>
        <w:jc w:val="center"/>
        <w:outlineLvl w:val="1"/>
        <w:rPr>
          <w:b/>
          <w:color w:val="auto"/>
          <w:kern w:val="2"/>
          <w:sz w:val="28"/>
          <w:szCs w:val="28"/>
          <w:highlight w:val="none"/>
        </w:rPr>
      </w:pPr>
    </w:p>
    <w:p w14:paraId="35621484">
      <w:pPr>
        <w:pStyle w:val="23"/>
        <w:widowControl w:val="0"/>
        <w:tabs>
          <w:tab w:val="left" w:pos="0"/>
        </w:tabs>
        <w:spacing w:before="120" w:beforeAutospacing="0" w:after="120" w:afterAutospacing="0" w:line="500" w:lineRule="exact"/>
        <w:ind w:right="29" w:rightChars="14"/>
        <w:jc w:val="both"/>
        <w:outlineLvl w:val="1"/>
        <w:rPr>
          <w:b/>
          <w:color w:val="auto"/>
          <w:kern w:val="2"/>
          <w:sz w:val="28"/>
          <w:szCs w:val="28"/>
          <w:highlight w:val="none"/>
        </w:rPr>
      </w:pPr>
    </w:p>
    <w:p w14:paraId="69AF0D2A">
      <w:pPr>
        <w:pStyle w:val="23"/>
        <w:widowControl w:val="0"/>
        <w:tabs>
          <w:tab w:val="left" w:pos="0"/>
        </w:tabs>
        <w:spacing w:before="120" w:beforeAutospacing="0" w:after="120" w:afterAutospacing="0" w:line="500" w:lineRule="exact"/>
        <w:ind w:right="29" w:rightChars="14"/>
        <w:jc w:val="center"/>
        <w:outlineLvl w:val="1"/>
        <w:rPr>
          <w:b/>
          <w:color w:val="auto"/>
          <w:kern w:val="2"/>
          <w:sz w:val="28"/>
          <w:szCs w:val="28"/>
          <w:highlight w:val="none"/>
        </w:rPr>
      </w:pPr>
    </w:p>
    <w:p w14:paraId="10622E41">
      <w:pPr>
        <w:pStyle w:val="23"/>
        <w:widowControl w:val="0"/>
        <w:tabs>
          <w:tab w:val="left" w:pos="0"/>
        </w:tabs>
        <w:spacing w:before="120" w:beforeAutospacing="0" w:after="120" w:afterAutospacing="0" w:line="500" w:lineRule="exact"/>
        <w:ind w:right="29" w:rightChars="14"/>
        <w:jc w:val="center"/>
        <w:outlineLvl w:val="1"/>
        <w:rPr>
          <w:b/>
          <w:color w:val="auto"/>
          <w:kern w:val="2"/>
          <w:sz w:val="28"/>
          <w:szCs w:val="28"/>
          <w:highlight w:val="none"/>
        </w:rPr>
      </w:pPr>
    </w:p>
    <w:p w14:paraId="316DEBBE">
      <w:pPr>
        <w:pStyle w:val="23"/>
        <w:widowControl w:val="0"/>
        <w:tabs>
          <w:tab w:val="left" w:pos="0"/>
        </w:tabs>
        <w:spacing w:before="0" w:beforeAutospacing="0" w:after="0" w:afterAutospacing="0" w:line="360" w:lineRule="auto"/>
        <w:jc w:val="center"/>
        <w:outlineLvl w:val="1"/>
        <w:rPr>
          <w:b/>
          <w:color w:val="auto"/>
          <w:kern w:val="2"/>
          <w:sz w:val="28"/>
          <w:szCs w:val="28"/>
          <w:highlight w:val="none"/>
        </w:rPr>
      </w:pPr>
      <w:bookmarkStart w:id="345" w:name="_Toc700"/>
      <w:bookmarkStart w:id="346" w:name="_Toc32546"/>
      <w:bookmarkStart w:id="347" w:name="_Toc20525"/>
    </w:p>
    <w:p w14:paraId="26D18291">
      <w:pPr>
        <w:pStyle w:val="23"/>
        <w:widowControl w:val="0"/>
        <w:tabs>
          <w:tab w:val="left" w:pos="0"/>
        </w:tabs>
        <w:spacing w:before="0" w:beforeAutospacing="0" w:after="0" w:afterAutospacing="0" w:line="360" w:lineRule="auto"/>
        <w:jc w:val="center"/>
        <w:outlineLvl w:val="1"/>
        <w:rPr>
          <w:color w:val="auto"/>
          <w:sz w:val="28"/>
          <w:szCs w:val="28"/>
          <w:highlight w:val="none"/>
        </w:rPr>
      </w:pPr>
      <w:r>
        <w:rPr>
          <w:rFonts w:hint="eastAsia"/>
          <w:b/>
          <w:color w:val="auto"/>
          <w:kern w:val="2"/>
          <w:sz w:val="28"/>
          <w:szCs w:val="28"/>
          <w:highlight w:val="none"/>
        </w:rPr>
        <w:t>七、供应商所投产品属于当期政府采购清单规定的节能环保产品的</w:t>
      </w:r>
      <w:bookmarkEnd w:id="342"/>
      <w:bookmarkEnd w:id="345"/>
      <w:bookmarkEnd w:id="346"/>
      <w:bookmarkEnd w:id="347"/>
      <w:bookmarkStart w:id="348" w:name="_Toc28422"/>
      <w:bookmarkStart w:id="349" w:name="_Toc24210"/>
      <w:bookmarkStart w:id="350" w:name="_Toc18925"/>
      <w:bookmarkStart w:id="351" w:name="_Toc21287"/>
      <w:bookmarkStart w:id="352" w:name="_Toc29070"/>
      <w:bookmarkStart w:id="353" w:name="_Toc27457"/>
      <w:r>
        <w:rPr>
          <w:rFonts w:hint="eastAsia"/>
          <w:b/>
          <w:color w:val="auto"/>
          <w:kern w:val="2"/>
          <w:sz w:val="28"/>
          <w:szCs w:val="28"/>
          <w:highlight w:val="none"/>
        </w:rPr>
        <w:t>证明材料</w:t>
      </w:r>
      <w:bookmarkEnd w:id="343"/>
      <w:bookmarkEnd w:id="348"/>
      <w:bookmarkEnd w:id="349"/>
      <w:bookmarkEnd w:id="350"/>
      <w:r>
        <w:rPr>
          <w:rFonts w:hint="eastAsia"/>
          <w:b/>
          <w:color w:val="auto"/>
          <w:kern w:val="2"/>
          <w:sz w:val="28"/>
          <w:szCs w:val="28"/>
          <w:highlight w:val="none"/>
        </w:rPr>
        <w:t>（如有）</w:t>
      </w:r>
      <w:bookmarkEnd w:id="351"/>
      <w:bookmarkEnd w:id="352"/>
      <w:bookmarkEnd w:id="353"/>
    </w:p>
    <w:p w14:paraId="17A83618">
      <w:pPr>
        <w:pStyle w:val="23"/>
        <w:widowControl w:val="0"/>
        <w:spacing w:before="120" w:beforeAutospacing="0" w:after="120" w:afterAutospacing="0" w:line="500" w:lineRule="exact"/>
        <w:ind w:right="29" w:rightChars="14"/>
        <w:jc w:val="center"/>
        <w:rPr>
          <w:color w:val="auto"/>
          <w:sz w:val="30"/>
          <w:szCs w:val="30"/>
          <w:highlight w:val="none"/>
        </w:rPr>
      </w:pPr>
    </w:p>
    <w:p w14:paraId="07BAA0B1">
      <w:pPr>
        <w:pStyle w:val="23"/>
        <w:widowControl w:val="0"/>
        <w:spacing w:before="120" w:beforeAutospacing="0" w:after="120" w:afterAutospacing="0" w:line="500" w:lineRule="exact"/>
        <w:ind w:right="29" w:rightChars="14"/>
        <w:jc w:val="center"/>
        <w:rPr>
          <w:color w:val="auto"/>
          <w:sz w:val="30"/>
          <w:szCs w:val="30"/>
          <w:highlight w:val="none"/>
        </w:rPr>
      </w:pPr>
    </w:p>
    <w:p w14:paraId="4A970058">
      <w:pPr>
        <w:pStyle w:val="23"/>
        <w:widowControl w:val="0"/>
        <w:spacing w:before="120" w:beforeAutospacing="0" w:after="120" w:afterAutospacing="0" w:line="500" w:lineRule="exact"/>
        <w:ind w:right="29" w:rightChars="14"/>
        <w:jc w:val="center"/>
        <w:rPr>
          <w:color w:val="auto"/>
          <w:sz w:val="30"/>
          <w:szCs w:val="30"/>
          <w:highlight w:val="none"/>
        </w:rPr>
      </w:pPr>
    </w:p>
    <w:p w14:paraId="2AE8CA7E">
      <w:pPr>
        <w:pStyle w:val="23"/>
        <w:widowControl w:val="0"/>
        <w:spacing w:before="120" w:beforeAutospacing="0" w:after="120" w:afterAutospacing="0" w:line="500" w:lineRule="exact"/>
        <w:ind w:right="29" w:rightChars="14"/>
        <w:jc w:val="center"/>
        <w:rPr>
          <w:color w:val="auto"/>
          <w:sz w:val="30"/>
          <w:szCs w:val="30"/>
          <w:highlight w:val="none"/>
        </w:rPr>
      </w:pPr>
    </w:p>
    <w:p w14:paraId="6021CA69">
      <w:pPr>
        <w:pStyle w:val="23"/>
        <w:widowControl w:val="0"/>
        <w:spacing w:before="120" w:beforeAutospacing="0" w:after="120" w:afterAutospacing="0" w:line="500" w:lineRule="exact"/>
        <w:ind w:right="29" w:rightChars="14"/>
        <w:jc w:val="center"/>
        <w:rPr>
          <w:color w:val="auto"/>
          <w:sz w:val="30"/>
          <w:szCs w:val="30"/>
          <w:highlight w:val="none"/>
        </w:rPr>
      </w:pPr>
    </w:p>
    <w:p w14:paraId="62067F5B">
      <w:pPr>
        <w:pStyle w:val="23"/>
        <w:widowControl w:val="0"/>
        <w:spacing w:before="120" w:beforeAutospacing="0" w:after="120" w:afterAutospacing="0" w:line="500" w:lineRule="exact"/>
        <w:ind w:right="29" w:rightChars="14"/>
        <w:jc w:val="center"/>
        <w:rPr>
          <w:color w:val="auto"/>
          <w:sz w:val="30"/>
          <w:szCs w:val="30"/>
          <w:highlight w:val="none"/>
        </w:rPr>
      </w:pPr>
    </w:p>
    <w:p w14:paraId="6FB97CBF">
      <w:pPr>
        <w:pStyle w:val="23"/>
        <w:widowControl w:val="0"/>
        <w:spacing w:before="120" w:beforeAutospacing="0" w:after="120" w:afterAutospacing="0" w:line="500" w:lineRule="exact"/>
        <w:ind w:right="29" w:rightChars="14"/>
        <w:jc w:val="center"/>
        <w:rPr>
          <w:color w:val="auto"/>
          <w:sz w:val="30"/>
          <w:szCs w:val="30"/>
          <w:highlight w:val="none"/>
        </w:rPr>
      </w:pPr>
    </w:p>
    <w:p w14:paraId="5A4B27A2">
      <w:pPr>
        <w:pStyle w:val="23"/>
        <w:widowControl w:val="0"/>
        <w:spacing w:before="120" w:beforeAutospacing="0" w:after="120" w:afterAutospacing="0" w:line="500" w:lineRule="exact"/>
        <w:ind w:right="29" w:rightChars="14"/>
        <w:jc w:val="center"/>
        <w:rPr>
          <w:color w:val="auto"/>
          <w:sz w:val="30"/>
          <w:szCs w:val="30"/>
          <w:highlight w:val="none"/>
        </w:rPr>
      </w:pPr>
    </w:p>
    <w:p w14:paraId="03746FE8">
      <w:pPr>
        <w:pStyle w:val="23"/>
        <w:widowControl w:val="0"/>
        <w:spacing w:before="120" w:beforeAutospacing="0" w:after="120" w:afterAutospacing="0" w:line="500" w:lineRule="exact"/>
        <w:ind w:right="29" w:rightChars="14"/>
        <w:jc w:val="center"/>
        <w:rPr>
          <w:color w:val="auto"/>
          <w:sz w:val="30"/>
          <w:szCs w:val="30"/>
          <w:highlight w:val="none"/>
        </w:rPr>
      </w:pPr>
    </w:p>
    <w:p w14:paraId="607403DB">
      <w:pPr>
        <w:pStyle w:val="23"/>
        <w:widowControl w:val="0"/>
        <w:spacing w:before="120" w:beforeAutospacing="0" w:after="120" w:afterAutospacing="0" w:line="500" w:lineRule="exact"/>
        <w:ind w:right="29" w:rightChars="14"/>
        <w:jc w:val="center"/>
        <w:rPr>
          <w:color w:val="auto"/>
          <w:sz w:val="30"/>
          <w:szCs w:val="30"/>
          <w:highlight w:val="none"/>
        </w:rPr>
      </w:pPr>
    </w:p>
    <w:p w14:paraId="46A993FD">
      <w:pPr>
        <w:pStyle w:val="23"/>
        <w:widowControl w:val="0"/>
        <w:spacing w:before="120" w:beforeAutospacing="0" w:after="120" w:afterAutospacing="0" w:line="500" w:lineRule="exact"/>
        <w:ind w:right="29" w:rightChars="14"/>
        <w:jc w:val="center"/>
        <w:rPr>
          <w:color w:val="auto"/>
          <w:sz w:val="30"/>
          <w:szCs w:val="30"/>
          <w:highlight w:val="none"/>
        </w:rPr>
      </w:pPr>
    </w:p>
    <w:p w14:paraId="07DF5CC9">
      <w:pPr>
        <w:pStyle w:val="23"/>
        <w:widowControl w:val="0"/>
        <w:spacing w:before="120" w:beforeAutospacing="0" w:after="120" w:afterAutospacing="0" w:line="500" w:lineRule="exact"/>
        <w:ind w:right="29" w:rightChars="14"/>
        <w:jc w:val="center"/>
        <w:rPr>
          <w:color w:val="auto"/>
          <w:sz w:val="30"/>
          <w:szCs w:val="30"/>
          <w:highlight w:val="none"/>
        </w:rPr>
      </w:pPr>
    </w:p>
    <w:p w14:paraId="37AC49AB">
      <w:pPr>
        <w:pStyle w:val="23"/>
        <w:widowControl w:val="0"/>
        <w:spacing w:before="120" w:beforeAutospacing="0" w:after="120" w:afterAutospacing="0" w:line="500" w:lineRule="exact"/>
        <w:ind w:right="29" w:rightChars="14"/>
        <w:jc w:val="center"/>
        <w:rPr>
          <w:color w:val="auto"/>
          <w:sz w:val="30"/>
          <w:szCs w:val="30"/>
          <w:highlight w:val="none"/>
        </w:rPr>
      </w:pPr>
    </w:p>
    <w:p w14:paraId="13EBB035">
      <w:pPr>
        <w:pStyle w:val="23"/>
        <w:widowControl w:val="0"/>
        <w:spacing w:before="120" w:beforeAutospacing="0" w:after="120" w:afterAutospacing="0" w:line="500" w:lineRule="exact"/>
        <w:ind w:right="29" w:rightChars="14"/>
        <w:jc w:val="center"/>
        <w:rPr>
          <w:color w:val="auto"/>
          <w:sz w:val="30"/>
          <w:szCs w:val="30"/>
          <w:highlight w:val="none"/>
        </w:rPr>
      </w:pPr>
    </w:p>
    <w:p w14:paraId="1B4D7A1E">
      <w:pPr>
        <w:pStyle w:val="23"/>
        <w:widowControl w:val="0"/>
        <w:spacing w:before="120" w:beforeAutospacing="0" w:after="120" w:afterAutospacing="0" w:line="500" w:lineRule="exact"/>
        <w:ind w:right="29" w:rightChars="14"/>
        <w:jc w:val="center"/>
        <w:outlineLvl w:val="1"/>
        <w:rPr>
          <w:color w:val="auto"/>
          <w:sz w:val="28"/>
          <w:szCs w:val="28"/>
          <w:highlight w:val="none"/>
        </w:rPr>
      </w:pPr>
      <w:bookmarkStart w:id="354" w:name="_Toc5743"/>
      <w:bookmarkStart w:id="355" w:name="_Toc10717"/>
      <w:bookmarkStart w:id="356" w:name="_Toc23227"/>
      <w:bookmarkStart w:id="357" w:name="_Toc8898"/>
      <w:bookmarkStart w:id="358" w:name="_Toc24850"/>
      <w:r>
        <w:rPr>
          <w:rFonts w:hint="eastAsia"/>
          <w:b/>
          <w:color w:val="auto"/>
          <w:kern w:val="2"/>
          <w:sz w:val="28"/>
          <w:szCs w:val="28"/>
          <w:highlight w:val="none"/>
        </w:rPr>
        <w:t>八、中小企业声明函</w:t>
      </w:r>
      <w:bookmarkEnd w:id="354"/>
      <w:bookmarkEnd w:id="355"/>
      <w:bookmarkEnd w:id="356"/>
      <w:bookmarkEnd w:id="357"/>
      <w:bookmarkEnd w:id="358"/>
    </w:p>
    <w:p w14:paraId="3FE06409">
      <w:pPr>
        <w:spacing w:line="360" w:lineRule="auto"/>
        <w:jc w:val="center"/>
        <w:outlineLvl w:val="1"/>
        <w:rPr>
          <w:rFonts w:ascii="宋体" w:hAnsi="宋体" w:cs="宋体"/>
          <w:b/>
          <w:bCs/>
          <w:color w:val="auto"/>
          <w:sz w:val="24"/>
          <w:szCs w:val="24"/>
          <w:highlight w:val="none"/>
        </w:rPr>
      </w:pPr>
      <w:bookmarkStart w:id="359" w:name="_Toc25316"/>
      <w:bookmarkStart w:id="360" w:name="_Toc42601267"/>
      <w:bookmarkStart w:id="361" w:name="_Toc18299"/>
      <w:bookmarkStart w:id="362" w:name="_Toc25586"/>
      <w:bookmarkStart w:id="363" w:name="_Toc24800"/>
      <w:bookmarkStart w:id="364" w:name="_Toc23752"/>
      <w:bookmarkStart w:id="365" w:name="_Toc16077"/>
      <w:r>
        <w:rPr>
          <w:rFonts w:hint="eastAsia" w:ascii="宋体" w:hAnsi="宋体" w:cs="宋体"/>
          <w:b/>
          <w:color w:val="auto"/>
          <w:sz w:val="24"/>
          <w:szCs w:val="24"/>
          <w:highlight w:val="none"/>
        </w:rPr>
        <w:t>1.</w:t>
      </w:r>
      <w:bookmarkEnd w:id="359"/>
      <w:bookmarkEnd w:id="360"/>
      <w:r>
        <w:rPr>
          <w:rFonts w:hint="eastAsia" w:ascii="宋体" w:hAnsi="宋体" w:cs="宋体"/>
          <w:b/>
          <w:bCs/>
          <w:color w:val="auto"/>
          <w:sz w:val="24"/>
          <w:szCs w:val="24"/>
          <w:highlight w:val="none"/>
        </w:rPr>
        <w:t>中小企业声明函（货物）</w:t>
      </w:r>
      <w:bookmarkEnd w:id="361"/>
      <w:bookmarkEnd w:id="362"/>
      <w:bookmarkEnd w:id="363"/>
      <w:bookmarkEnd w:id="364"/>
      <w:bookmarkEnd w:id="365"/>
    </w:p>
    <w:p w14:paraId="3179EE88">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本公司（联合体）郑重声明，根据《政府采购促进中小企业发展管理办法》（财库﹝2020﹞46 号）的规定，本公司 （联合体）参加</w:t>
      </w:r>
      <w:r>
        <w:rPr>
          <w:rFonts w:hint="eastAsia" w:ascii="宋体" w:hAnsi="宋体" w:cs="宋体"/>
          <w:color w:val="auto"/>
          <w:szCs w:val="21"/>
          <w:highlight w:val="none"/>
          <w:u w:val="single"/>
        </w:rPr>
        <w:t>（供应商名称）</w:t>
      </w:r>
      <w:r>
        <w:rPr>
          <w:rFonts w:hint="eastAsia" w:ascii="宋体" w:hAnsi="宋体" w:cs="宋体"/>
          <w:color w:val="auto"/>
          <w:szCs w:val="21"/>
          <w:highlight w:val="none"/>
        </w:rPr>
        <w:t>的</w:t>
      </w:r>
      <w:r>
        <w:rPr>
          <w:rFonts w:hint="eastAsia" w:ascii="宋体" w:hAnsi="宋体" w:cs="宋体"/>
          <w:color w:val="auto"/>
          <w:szCs w:val="21"/>
          <w:highlight w:val="none"/>
          <w:u w:val="single"/>
        </w:rPr>
        <w:t>（</w:t>
      </w:r>
      <w:r>
        <w:rPr>
          <w:rFonts w:hint="eastAsia" w:ascii="宋体" w:hAnsi="宋体" w:eastAsia="宋体" w:cs="宋体"/>
          <w:color w:val="auto"/>
          <w:szCs w:val="21"/>
          <w:highlight w:val="none"/>
          <w:u w:val="single"/>
        </w:rPr>
        <w:t>项目名称</w:t>
      </w:r>
      <w:r>
        <w:rPr>
          <w:rFonts w:hint="eastAsia" w:ascii="宋体" w:hAnsi="宋体" w:eastAsia="宋体" w:cs="宋体"/>
          <w:color w:val="auto"/>
          <w:szCs w:val="21"/>
          <w:highlight w:val="none"/>
          <w:u w:val="single"/>
          <w:lang w:val="en-US" w:eastAsia="zh-CN"/>
        </w:rPr>
        <w:t>+标段</w:t>
      </w:r>
      <w:r>
        <w:rPr>
          <w:rFonts w:hint="eastAsia" w:ascii="宋体" w:hAnsi="宋体" w:eastAsia="宋体" w:cs="宋体"/>
          <w:color w:val="auto"/>
          <w:szCs w:val="21"/>
          <w:highlight w:val="none"/>
          <w:u w:val="single"/>
        </w:rPr>
        <w:t>）</w:t>
      </w:r>
      <w:r>
        <w:rPr>
          <w:rFonts w:hint="eastAsia" w:ascii="宋体" w:hAnsi="宋体" w:cs="宋体"/>
          <w:color w:val="auto"/>
          <w:szCs w:val="21"/>
          <w:highlight w:val="none"/>
        </w:rPr>
        <w:t>采购活动，提 供的货物全部由符合政策要求的中小企业制造。相关企业 （含联合体中的中小企业、签订分包意向协议的中小企业） 的具体情况如下：</w:t>
      </w:r>
    </w:p>
    <w:p w14:paraId="66C334C5">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u w:val="single"/>
        </w:rPr>
        <w:t>（标的名称）</w:t>
      </w:r>
      <w:r>
        <w:rPr>
          <w:rFonts w:hint="eastAsia" w:ascii="宋体" w:hAnsi="宋体" w:cs="宋体"/>
          <w:color w:val="auto"/>
          <w:szCs w:val="21"/>
          <w:highlight w:val="none"/>
        </w:rPr>
        <w:t xml:space="preserve"> ，属于</w:t>
      </w:r>
      <w:r>
        <w:rPr>
          <w:rFonts w:hint="eastAsia" w:ascii="宋体" w:hAnsi="宋体" w:cs="宋体"/>
          <w:color w:val="auto"/>
          <w:szCs w:val="21"/>
          <w:highlight w:val="none"/>
          <w:u w:val="single"/>
        </w:rPr>
        <w:t xml:space="preserve">（采购文件中明确的所属行业） </w:t>
      </w:r>
      <w:r>
        <w:rPr>
          <w:rFonts w:hint="eastAsia" w:ascii="宋体" w:hAnsi="宋体" w:cs="宋体"/>
          <w:color w:val="auto"/>
          <w:szCs w:val="21"/>
          <w:highlight w:val="none"/>
        </w:rPr>
        <w:t>行业；制造商为</w:t>
      </w:r>
      <w:r>
        <w:rPr>
          <w:rFonts w:hint="eastAsia" w:ascii="宋体" w:hAnsi="宋体" w:cs="宋体"/>
          <w:color w:val="auto"/>
          <w:szCs w:val="21"/>
          <w:highlight w:val="none"/>
          <w:u w:val="single"/>
        </w:rPr>
        <w:t>（企业名称）</w:t>
      </w:r>
      <w:r>
        <w:rPr>
          <w:rFonts w:hint="eastAsia" w:ascii="宋体" w:hAnsi="宋体" w:cs="宋体"/>
          <w:color w:val="auto"/>
          <w:szCs w:val="21"/>
          <w:highlight w:val="none"/>
        </w:rPr>
        <w:t>，从业人员</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人，营业收入为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万元，资产总额为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万元 属于</w:t>
      </w:r>
      <w:r>
        <w:rPr>
          <w:rFonts w:hint="eastAsia" w:ascii="宋体" w:hAnsi="宋体" w:cs="宋体"/>
          <w:color w:val="auto"/>
          <w:szCs w:val="21"/>
          <w:highlight w:val="none"/>
          <w:u w:val="single"/>
        </w:rPr>
        <w:t>（中型企业、小 型企业、微型企业）</w:t>
      </w:r>
      <w:r>
        <w:rPr>
          <w:rFonts w:hint="eastAsia" w:ascii="宋体" w:hAnsi="宋体" w:cs="宋体"/>
          <w:color w:val="auto"/>
          <w:szCs w:val="21"/>
          <w:highlight w:val="none"/>
        </w:rPr>
        <w:t xml:space="preserve">； </w:t>
      </w:r>
    </w:p>
    <w:p w14:paraId="412E4F76">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u w:val="single"/>
        </w:rPr>
        <w:t>（标的名称）</w:t>
      </w:r>
      <w:r>
        <w:rPr>
          <w:rFonts w:hint="eastAsia" w:ascii="宋体" w:hAnsi="宋体" w:cs="宋体"/>
          <w:color w:val="auto"/>
          <w:szCs w:val="21"/>
          <w:highlight w:val="none"/>
        </w:rPr>
        <w:t xml:space="preserve"> ，属于</w:t>
      </w:r>
      <w:r>
        <w:rPr>
          <w:rFonts w:hint="eastAsia" w:ascii="宋体" w:hAnsi="宋体" w:cs="宋体"/>
          <w:color w:val="auto"/>
          <w:szCs w:val="21"/>
          <w:highlight w:val="none"/>
          <w:u w:val="single"/>
        </w:rPr>
        <w:t xml:space="preserve">（采购文件中明确的所属行业） </w:t>
      </w:r>
      <w:r>
        <w:rPr>
          <w:rFonts w:hint="eastAsia" w:ascii="宋体" w:hAnsi="宋体" w:cs="宋体"/>
          <w:color w:val="auto"/>
          <w:szCs w:val="21"/>
          <w:highlight w:val="none"/>
        </w:rPr>
        <w:t>行业；制造商为</w:t>
      </w:r>
      <w:r>
        <w:rPr>
          <w:rFonts w:hint="eastAsia" w:ascii="宋体" w:hAnsi="宋体" w:cs="宋体"/>
          <w:color w:val="auto"/>
          <w:szCs w:val="21"/>
          <w:highlight w:val="none"/>
          <w:u w:val="single"/>
        </w:rPr>
        <w:t>（企业名称）</w:t>
      </w:r>
      <w:r>
        <w:rPr>
          <w:rFonts w:hint="eastAsia" w:ascii="宋体" w:hAnsi="宋体" w:cs="宋体"/>
          <w:color w:val="auto"/>
          <w:szCs w:val="21"/>
          <w:highlight w:val="none"/>
        </w:rPr>
        <w:t>，从业人员</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人，营业收入为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万元，资产总额为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万元，属于</w:t>
      </w:r>
      <w:r>
        <w:rPr>
          <w:rFonts w:hint="eastAsia" w:ascii="宋体" w:hAnsi="宋体" w:cs="宋体"/>
          <w:color w:val="auto"/>
          <w:szCs w:val="21"/>
          <w:highlight w:val="none"/>
          <w:u w:val="single"/>
        </w:rPr>
        <w:t>（中型企业、小型 企业、微型企业）</w:t>
      </w:r>
      <w:r>
        <w:rPr>
          <w:rFonts w:hint="eastAsia" w:ascii="宋体" w:hAnsi="宋体" w:cs="宋体"/>
          <w:color w:val="auto"/>
          <w:szCs w:val="21"/>
          <w:highlight w:val="none"/>
        </w:rPr>
        <w:t xml:space="preserve">； </w:t>
      </w:r>
    </w:p>
    <w:p w14:paraId="7E44203A">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w:t>
      </w:r>
    </w:p>
    <w:p w14:paraId="1B13DE11">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以上企业，不属于大企业的分支机构，不存在控股股东为大企业的情形，也不存在与大企业的负责人为同一人的情形。 本企业对上述声明内容的真实性负责。如有虚假，将依法承担相应责任。 </w:t>
      </w:r>
    </w:p>
    <w:p w14:paraId="2F7B45D6">
      <w:pPr>
        <w:spacing w:line="360" w:lineRule="auto"/>
        <w:jc w:val="right"/>
        <w:rPr>
          <w:rFonts w:ascii="宋体" w:hAnsi="宋体" w:cs="宋体"/>
          <w:color w:val="auto"/>
          <w:szCs w:val="21"/>
          <w:highlight w:val="none"/>
        </w:rPr>
      </w:pPr>
    </w:p>
    <w:p w14:paraId="3D490B0F">
      <w:pPr>
        <w:spacing w:line="360" w:lineRule="auto"/>
        <w:jc w:val="center"/>
        <w:rPr>
          <w:rFonts w:ascii="宋体" w:hAnsi="宋体" w:cs="宋体"/>
          <w:color w:val="auto"/>
          <w:szCs w:val="21"/>
          <w:highlight w:val="none"/>
        </w:rPr>
      </w:pPr>
    </w:p>
    <w:p w14:paraId="5140A422">
      <w:pPr>
        <w:spacing w:line="360" w:lineRule="auto"/>
        <w:jc w:val="center"/>
        <w:outlineLvl w:val="1"/>
        <w:rPr>
          <w:rFonts w:ascii="宋体" w:hAnsi="宋体" w:cs="宋体"/>
          <w:color w:val="auto"/>
          <w:szCs w:val="21"/>
          <w:highlight w:val="none"/>
        </w:rPr>
      </w:pPr>
      <w:r>
        <w:rPr>
          <w:rFonts w:hint="eastAsia" w:ascii="宋体" w:hAnsi="宋体" w:cs="宋体"/>
          <w:color w:val="auto"/>
          <w:szCs w:val="21"/>
          <w:highlight w:val="none"/>
        </w:rPr>
        <w:t xml:space="preserve">                                      </w:t>
      </w:r>
      <w:bookmarkStart w:id="366" w:name="_Toc30002"/>
      <w:bookmarkStart w:id="367" w:name="_Toc7411"/>
      <w:bookmarkStart w:id="368" w:name="_Toc19623"/>
      <w:bookmarkStart w:id="369" w:name="_Toc21177"/>
      <w:bookmarkStart w:id="370" w:name="_Toc11615"/>
      <w:r>
        <w:rPr>
          <w:rFonts w:hint="eastAsia" w:ascii="宋体" w:hAnsi="宋体" w:cs="宋体"/>
          <w:color w:val="auto"/>
          <w:szCs w:val="21"/>
          <w:highlight w:val="none"/>
        </w:rPr>
        <w:t>企业名称（企业电子签章）：</w:t>
      </w:r>
      <w:bookmarkEnd w:id="366"/>
      <w:bookmarkEnd w:id="367"/>
      <w:bookmarkEnd w:id="368"/>
      <w:bookmarkEnd w:id="369"/>
      <w:bookmarkEnd w:id="370"/>
      <w:r>
        <w:rPr>
          <w:rFonts w:hint="eastAsia" w:ascii="宋体" w:hAnsi="宋体" w:cs="宋体"/>
          <w:color w:val="auto"/>
          <w:szCs w:val="21"/>
          <w:highlight w:val="none"/>
        </w:rPr>
        <w:t xml:space="preserve"> </w:t>
      </w:r>
    </w:p>
    <w:p w14:paraId="5EAB1964">
      <w:pPr>
        <w:spacing w:line="360" w:lineRule="auto"/>
        <w:jc w:val="center"/>
        <w:outlineLvl w:val="1"/>
        <w:rPr>
          <w:rFonts w:ascii="宋体" w:hAnsi="宋体" w:cs="宋体"/>
          <w:color w:val="auto"/>
          <w:szCs w:val="21"/>
          <w:highlight w:val="none"/>
        </w:rPr>
      </w:pPr>
      <w:r>
        <w:rPr>
          <w:rFonts w:hint="eastAsia" w:ascii="宋体" w:hAnsi="宋体" w:cs="宋体"/>
          <w:color w:val="auto"/>
          <w:szCs w:val="21"/>
          <w:highlight w:val="none"/>
        </w:rPr>
        <w:t xml:space="preserve">                                                 </w:t>
      </w:r>
      <w:bookmarkStart w:id="371" w:name="_Toc31930"/>
      <w:bookmarkStart w:id="372" w:name="_Toc27226"/>
      <w:bookmarkStart w:id="373" w:name="_Toc24390"/>
      <w:bookmarkStart w:id="374" w:name="_Toc30019"/>
      <w:bookmarkStart w:id="375" w:name="_Toc22576"/>
      <w:r>
        <w:rPr>
          <w:rFonts w:hint="eastAsia" w:ascii="宋体" w:hAnsi="宋体" w:cs="宋体"/>
          <w:color w:val="auto"/>
          <w:szCs w:val="21"/>
          <w:highlight w:val="none"/>
        </w:rPr>
        <w:t>日 期：</w:t>
      </w:r>
      <w:bookmarkEnd w:id="371"/>
      <w:bookmarkEnd w:id="372"/>
      <w:bookmarkEnd w:id="373"/>
      <w:bookmarkEnd w:id="374"/>
      <w:bookmarkEnd w:id="375"/>
    </w:p>
    <w:p w14:paraId="2DC8D0F7">
      <w:pPr>
        <w:widowControl/>
        <w:spacing w:line="360" w:lineRule="auto"/>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注：</w:t>
      </w:r>
    </w:p>
    <w:p w14:paraId="34B78407">
      <w:pPr>
        <w:widowControl/>
        <w:spacing w:line="360" w:lineRule="auto"/>
        <w:jc w:val="left"/>
        <w:rPr>
          <w:rFonts w:ascii="宋体" w:hAnsi="宋体" w:cs="宋体"/>
          <w:color w:val="auto"/>
          <w:szCs w:val="21"/>
          <w:highlight w:val="none"/>
        </w:rPr>
      </w:pPr>
      <w:r>
        <w:rPr>
          <w:rFonts w:hint="eastAsia" w:ascii="宋体" w:hAnsi="宋体" w:cs="宋体"/>
          <w:color w:val="auto"/>
          <w:kern w:val="0"/>
          <w:szCs w:val="21"/>
          <w:highlight w:val="none"/>
          <w:lang w:bidi="ar"/>
        </w:rPr>
        <w:t xml:space="preserve">1.从业人员、营业收入、资产总额填报上一年度数据，无上一年度数据的新成 </w:t>
      </w:r>
    </w:p>
    <w:p w14:paraId="1489B97D">
      <w:pPr>
        <w:widowControl/>
        <w:spacing w:line="360" w:lineRule="auto"/>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立企业可不填报。</w:t>
      </w:r>
    </w:p>
    <w:p w14:paraId="14BFA640">
      <w:pPr>
        <w:widowControl/>
        <w:spacing w:line="360" w:lineRule="auto"/>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2.填写前请认真阅读《关于印发中小企业划型标准规定的通知》（工信部联企业[2011]300 号）和《关于 印发＜政府采购促进中小企业发展管理办法＞的通知》(财库﹝2020﹞46号)相关规定。</w:t>
      </w:r>
    </w:p>
    <w:p w14:paraId="7CCEF33C">
      <w:pPr>
        <w:widowControl/>
        <w:spacing w:line="360" w:lineRule="auto"/>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3.未按上述要求提供、填写的，评审时不予以考虑。</w:t>
      </w:r>
    </w:p>
    <w:p w14:paraId="3B17FC66">
      <w:pPr>
        <w:spacing w:line="600" w:lineRule="exact"/>
        <w:rPr>
          <w:rFonts w:ascii="宋体" w:hAnsi="宋体" w:cs="宋体"/>
          <w:color w:val="auto"/>
          <w:sz w:val="30"/>
          <w:szCs w:val="30"/>
          <w:highlight w:val="none"/>
        </w:rPr>
      </w:pPr>
    </w:p>
    <w:p w14:paraId="2CE27ABA">
      <w:pPr>
        <w:pStyle w:val="23"/>
        <w:widowControl w:val="0"/>
        <w:spacing w:before="120" w:beforeAutospacing="0" w:after="120" w:afterAutospacing="0" w:line="500" w:lineRule="exact"/>
        <w:ind w:right="29" w:rightChars="14"/>
        <w:jc w:val="center"/>
        <w:outlineLvl w:val="1"/>
        <w:rPr>
          <w:rFonts w:ascii="宋体" w:hAnsi="宋体" w:cs="宋体"/>
          <w:b/>
          <w:color w:val="auto"/>
          <w:sz w:val="28"/>
          <w:szCs w:val="28"/>
          <w:highlight w:val="none"/>
        </w:rPr>
      </w:pPr>
      <w:bookmarkStart w:id="376" w:name="_Toc13288"/>
      <w:bookmarkStart w:id="377" w:name="_Toc20881"/>
      <w:bookmarkStart w:id="378" w:name="_Toc11708"/>
      <w:bookmarkStart w:id="379" w:name="_Toc26108"/>
      <w:bookmarkStart w:id="380" w:name="_Toc14292"/>
      <w:bookmarkStart w:id="381" w:name="_Toc30170"/>
      <w:r>
        <w:rPr>
          <w:rFonts w:hint="eastAsia"/>
          <w:b/>
          <w:color w:val="auto"/>
          <w:kern w:val="2"/>
          <w:sz w:val="28"/>
          <w:szCs w:val="28"/>
          <w:highlight w:val="none"/>
        </w:rPr>
        <w:t>九、残疾人福利性单位声明函（如有）</w:t>
      </w:r>
      <w:bookmarkEnd w:id="376"/>
      <w:bookmarkEnd w:id="377"/>
      <w:bookmarkEnd w:id="378"/>
      <w:bookmarkEnd w:id="379"/>
    </w:p>
    <w:p w14:paraId="499C92BE">
      <w:pPr>
        <w:spacing w:after="758" w:afterLines="200"/>
        <w:ind w:firstLine="2108" w:firstLineChars="750"/>
        <w:rPr>
          <w:rFonts w:hint="eastAsia" w:ascii="宋体" w:hAnsi="宋体" w:eastAsia="宋体" w:cs="宋体"/>
          <w:b/>
          <w:color w:val="auto"/>
          <w:sz w:val="28"/>
          <w:szCs w:val="28"/>
          <w:highlight w:val="none"/>
          <w:lang w:eastAsia="zh-CN"/>
        </w:rPr>
      </w:pPr>
    </w:p>
    <w:p w14:paraId="326F32F3">
      <w:pPr>
        <w:spacing w:after="758" w:afterLines="200"/>
        <w:ind w:firstLine="2108" w:firstLineChars="750"/>
        <w:rPr>
          <w:rFonts w:hint="eastAsia" w:ascii="宋体" w:hAnsi="宋体" w:eastAsia="宋体" w:cs="宋体"/>
          <w:b/>
          <w:color w:val="auto"/>
          <w:sz w:val="28"/>
          <w:szCs w:val="28"/>
          <w:highlight w:val="none"/>
          <w:lang w:eastAsia="zh-CN"/>
        </w:rPr>
      </w:pPr>
    </w:p>
    <w:p w14:paraId="6B853F96">
      <w:pPr>
        <w:pStyle w:val="26"/>
        <w:rPr>
          <w:rFonts w:hint="eastAsia" w:ascii="宋体" w:hAnsi="宋体" w:eastAsia="宋体" w:cs="宋体"/>
          <w:b/>
          <w:color w:val="auto"/>
          <w:sz w:val="28"/>
          <w:szCs w:val="28"/>
          <w:highlight w:val="none"/>
          <w:lang w:eastAsia="zh-CN"/>
        </w:rPr>
      </w:pPr>
    </w:p>
    <w:p w14:paraId="6F726F66">
      <w:pPr>
        <w:pStyle w:val="27"/>
        <w:rPr>
          <w:rFonts w:hint="eastAsia"/>
          <w:color w:val="auto"/>
          <w:highlight w:val="none"/>
          <w:lang w:eastAsia="zh-CN"/>
        </w:rPr>
      </w:pPr>
    </w:p>
    <w:bookmarkEnd w:id="344"/>
    <w:bookmarkEnd w:id="380"/>
    <w:bookmarkEnd w:id="381"/>
    <w:p w14:paraId="75DA7258">
      <w:pPr>
        <w:pStyle w:val="23"/>
        <w:widowControl w:val="0"/>
        <w:spacing w:before="120" w:beforeAutospacing="0" w:after="120" w:afterAutospacing="0" w:line="500" w:lineRule="exact"/>
        <w:ind w:right="29" w:rightChars="14"/>
        <w:jc w:val="center"/>
        <w:outlineLvl w:val="1"/>
        <w:rPr>
          <w:rFonts w:ascii="宋体" w:hAnsi="宋体" w:cs="宋体"/>
          <w:color w:val="auto"/>
          <w:sz w:val="28"/>
          <w:szCs w:val="28"/>
          <w:highlight w:val="none"/>
          <w:shd w:val="clear" w:color="FFFFFF" w:fill="D9D9D9"/>
        </w:rPr>
      </w:pPr>
      <w:bookmarkStart w:id="382" w:name="_Toc26550"/>
      <w:bookmarkStart w:id="383" w:name="_Toc18605"/>
      <w:bookmarkStart w:id="384" w:name="_Toc16608"/>
      <w:bookmarkStart w:id="385" w:name="_Toc17917"/>
      <w:r>
        <w:rPr>
          <w:rFonts w:hint="eastAsia"/>
          <w:b/>
          <w:color w:val="auto"/>
          <w:kern w:val="2"/>
          <w:sz w:val="28"/>
          <w:szCs w:val="28"/>
          <w:highlight w:val="none"/>
        </w:rPr>
        <w:t>十、招标文件要求的或供应商认为须提交的其他材料</w:t>
      </w:r>
      <w:bookmarkEnd w:id="382"/>
      <w:bookmarkEnd w:id="383"/>
      <w:bookmarkEnd w:id="384"/>
      <w:bookmarkEnd w:id="385"/>
    </w:p>
    <w:p w14:paraId="5A5D9754">
      <w:pPr>
        <w:spacing w:line="60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招标文件规定的其他资料及供应商认为需要提交的其他材料。</w:t>
      </w:r>
    </w:p>
    <w:p w14:paraId="60645DA8">
      <w:pPr>
        <w:spacing w:line="600" w:lineRule="exact"/>
        <w:ind w:firstLine="480" w:firstLineChars="200"/>
        <w:rPr>
          <w:rFonts w:ascii="宋体" w:hAnsi="宋体" w:cs="宋体"/>
          <w:color w:val="auto"/>
          <w:sz w:val="24"/>
          <w:szCs w:val="24"/>
          <w:highlight w:val="none"/>
        </w:rPr>
      </w:pPr>
    </w:p>
    <w:p w14:paraId="0CC7B42E">
      <w:pPr>
        <w:widowControl/>
        <w:spacing w:line="580" w:lineRule="atLeast"/>
        <w:jc w:val="center"/>
        <w:rPr>
          <w:rFonts w:ascii="宋体" w:hAnsi="宋体" w:cs="宋体"/>
          <w:b/>
          <w:color w:val="auto"/>
          <w:kern w:val="0"/>
          <w:sz w:val="32"/>
          <w:szCs w:val="32"/>
          <w:highlight w:val="none"/>
        </w:rPr>
      </w:pPr>
    </w:p>
    <w:p w14:paraId="0ABA47BD">
      <w:pPr>
        <w:pStyle w:val="56"/>
        <w:rPr>
          <w:rFonts w:ascii="宋体" w:hAnsi="宋体" w:cs="宋体"/>
          <w:b/>
          <w:bCs/>
          <w:color w:val="auto"/>
          <w:kern w:val="0"/>
          <w:sz w:val="32"/>
          <w:szCs w:val="32"/>
          <w:highlight w:val="none"/>
        </w:rPr>
      </w:pPr>
    </w:p>
    <w:p w14:paraId="701F9432">
      <w:pPr>
        <w:rPr>
          <w:rFonts w:ascii="宋体" w:hAnsi="宋体" w:cs="宋体"/>
          <w:b/>
          <w:bCs/>
          <w:color w:val="auto"/>
          <w:kern w:val="0"/>
          <w:sz w:val="32"/>
          <w:szCs w:val="32"/>
          <w:highlight w:val="none"/>
        </w:rPr>
      </w:pPr>
    </w:p>
    <w:p w14:paraId="6A99C191">
      <w:pPr>
        <w:pStyle w:val="56"/>
        <w:rPr>
          <w:rFonts w:ascii="宋体" w:hAnsi="宋体" w:cs="宋体"/>
          <w:b/>
          <w:bCs/>
          <w:color w:val="auto"/>
          <w:kern w:val="0"/>
          <w:sz w:val="32"/>
          <w:szCs w:val="32"/>
          <w:highlight w:val="none"/>
        </w:rPr>
      </w:pPr>
    </w:p>
    <w:p w14:paraId="0D3F7DAF">
      <w:pPr>
        <w:rPr>
          <w:rFonts w:ascii="宋体" w:hAnsi="宋体" w:cs="宋体"/>
          <w:b/>
          <w:bCs/>
          <w:color w:val="auto"/>
          <w:kern w:val="0"/>
          <w:sz w:val="32"/>
          <w:szCs w:val="32"/>
          <w:highlight w:val="none"/>
        </w:rPr>
      </w:pPr>
    </w:p>
    <w:p w14:paraId="3E74A1B1">
      <w:pPr>
        <w:pStyle w:val="56"/>
        <w:rPr>
          <w:rFonts w:ascii="宋体" w:hAnsi="宋体" w:cs="宋体"/>
          <w:b/>
          <w:bCs/>
          <w:color w:val="auto"/>
          <w:kern w:val="0"/>
          <w:sz w:val="32"/>
          <w:szCs w:val="32"/>
          <w:highlight w:val="none"/>
        </w:rPr>
      </w:pPr>
    </w:p>
    <w:p w14:paraId="7338F922">
      <w:pPr>
        <w:spacing w:line="440" w:lineRule="exact"/>
        <w:jc w:val="center"/>
        <w:rPr>
          <w:rFonts w:ascii="宋体" w:hAnsi="宋体" w:cs="宋体"/>
          <w:b/>
          <w:color w:val="auto"/>
          <w:sz w:val="36"/>
          <w:szCs w:val="36"/>
          <w:highlight w:val="none"/>
        </w:rPr>
      </w:pPr>
    </w:p>
    <w:p w14:paraId="003C7C8A">
      <w:pPr>
        <w:spacing w:line="440" w:lineRule="exact"/>
        <w:jc w:val="center"/>
        <w:rPr>
          <w:rFonts w:ascii="宋体" w:hAnsi="宋体" w:cs="宋体"/>
          <w:b/>
          <w:color w:val="auto"/>
          <w:sz w:val="36"/>
          <w:szCs w:val="36"/>
          <w:highlight w:val="none"/>
        </w:rPr>
      </w:pPr>
      <w:r>
        <w:rPr>
          <w:rFonts w:hint="eastAsia" w:ascii="宋体" w:hAnsi="宋体" w:cs="宋体"/>
          <w:color w:val="auto"/>
          <w:kern w:val="0"/>
          <w:sz w:val="24"/>
          <w:highlight w:val="none"/>
        </w:rPr>
        <w:br w:type="page"/>
      </w:r>
    </w:p>
    <w:p w14:paraId="4B5D8152">
      <w:pPr>
        <w:spacing w:line="360" w:lineRule="auto"/>
        <w:jc w:val="center"/>
        <w:rPr>
          <w:rFonts w:ascii="宋体" w:hAnsi="宋体" w:cs="宋体"/>
          <w:color w:val="auto"/>
          <w:sz w:val="28"/>
          <w:szCs w:val="28"/>
          <w:highlight w:val="none"/>
        </w:rPr>
      </w:pPr>
      <w:r>
        <w:rPr>
          <w:rFonts w:hint="eastAsia" w:ascii="宋体" w:hAnsi="宋体" w:cs="宋体"/>
          <w:b/>
          <w:color w:val="auto"/>
          <w:sz w:val="28"/>
          <w:szCs w:val="28"/>
          <w:highlight w:val="none"/>
        </w:rPr>
        <w:t>优化和提升政府采购政策</w:t>
      </w:r>
    </w:p>
    <w:p w14:paraId="7084E711">
      <w:pPr>
        <w:shd w:val="clear" w:color="auto" w:fill="FFFFFF"/>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一、全面取消采购文件费用和投标保证金费用。</w:t>
      </w:r>
    </w:p>
    <w:p w14:paraId="4975ED4F">
      <w:pPr>
        <w:shd w:val="clear" w:color="auto" w:fill="FFFFFF"/>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二、免收履约保证金。确因项目需要的，应以保函等非现金形式收取，比例不得超过合同金额的</w:t>
      </w:r>
      <w:r>
        <w:rPr>
          <w:rFonts w:hint="eastAsia" w:ascii="宋体" w:hAnsi="宋体" w:cs="宋体"/>
          <w:color w:val="auto"/>
          <w:sz w:val="24"/>
          <w:highlight w:val="none"/>
          <w:u w:val="single"/>
        </w:rPr>
        <w:t>6%</w:t>
      </w:r>
      <w:r>
        <w:rPr>
          <w:rFonts w:hint="eastAsia" w:ascii="宋体" w:hAnsi="宋体" w:cs="宋体"/>
          <w:color w:val="auto"/>
          <w:sz w:val="24"/>
          <w:highlight w:val="none"/>
        </w:rPr>
        <w:t>，并按约定的时间和条件退还。</w:t>
      </w:r>
    </w:p>
    <w:p w14:paraId="50C2A143">
      <w:pPr>
        <w:shd w:val="clear" w:color="auto" w:fill="FFFFFF"/>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三、评标结果确认时限。自评标（评审）结束后应2个工作日内确定中标供应商，5个工作日内公告结果，同时发送中标通知书。</w:t>
      </w:r>
    </w:p>
    <w:p w14:paraId="47DF76C2">
      <w:pPr>
        <w:shd w:val="clear" w:color="auto" w:fill="FFFFFF"/>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四、合同签订时限。自中标通知书发出之日起</w:t>
      </w:r>
      <w:r>
        <w:rPr>
          <w:rFonts w:hint="eastAsia" w:ascii="宋体" w:hAnsi="宋体" w:cs="宋体"/>
          <w:color w:val="auto"/>
          <w:sz w:val="24"/>
          <w:highlight w:val="none"/>
          <w:u w:val="single"/>
        </w:rPr>
        <w:t>15</w:t>
      </w:r>
      <w:r>
        <w:rPr>
          <w:rFonts w:hint="eastAsia" w:ascii="宋体" w:hAnsi="宋体" w:cs="宋体"/>
          <w:color w:val="auto"/>
          <w:sz w:val="24"/>
          <w:highlight w:val="none"/>
        </w:rPr>
        <w:t xml:space="preserve">日内，按照采购文件和投标文件确定的事项签订政府采购合同。 </w:t>
      </w:r>
    </w:p>
    <w:p w14:paraId="7CD86503">
      <w:pPr>
        <w:shd w:val="clear" w:color="auto" w:fill="FFFFFF"/>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五、合同公告和备案时限。自合同签订之日起2个工作日内。</w:t>
      </w:r>
    </w:p>
    <w:p w14:paraId="2BC02E47">
      <w:pPr>
        <w:shd w:val="clear" w:color="auto" w:fill="FFFFFF"/>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六、项目验收。自收到供应商项目验收建议之日起7个工作日内组织验收；验收结束后2个工作日内出具《验收报告》，并在焦作市政府采购网公告验收结果。</w:t>
      </w:r>
    </w:p>
    <w:p w14:paraId="499CA03A">
      <w:pPr>
        <w:shd w:val="clear" w:color="auto" w:fill="FFFFFF"/>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七、资金支付。按照合同约定的条件及时支付资金，不得因机构变更、人员更替、政策调整等原因拒绝或延迟资金支付。</w:t>
      </w:r>
    </w:p>
    <w:p w14:paraId="29257D5A">
      <w:pPr>
        <w:shd w:val="clear" w:color="auto" w:fill="FFFFFF"/>
        <w:spacing w:line="360" w:lineRule="auto"/>
        <w:ind w:firstLine="480" w:firstLineChars="200"/>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在政府采购活动中，若发现采购人或采购代理机构未按以上政策执行的，可向监督部门举报反映。</w:t>
      </w:r>
    </w:p>
    <w:p w14:paraId="592A2C55">
      <w:pPr>
        <w:shd w:val="clear" w:color="auto" w:fill="FFFFFF"/>
        <w:spacing w:line="360" w:lineRule="auto"/>
        <w:ind w:firstLine="480" w:firstLineChars="200"/>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监督单位：博爱县财政局政府采购监督管理办公室</w:t>
      </w:r>
    </w:p>
    <w:p w14:paraId="230AD103">
      <w:pPr>
        <w:shd w:val="clear" w:color="auto" w:fill="FFFFFF"/>
        <w:spacing w:line="360" w:lineRule="auto"/>
        <w:ind w:firstLine="480" w:firstLineChars="200"/>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监督电话：0391-8683273</w:t>
      </w:r>
    </w:p>
    <w:p w14:paraId="0244062D">
      <w:pPr>
        <w:shd w:val="clear" w:color="auto" w:fill="FFFFFF"/>
        <w:spacing w:line="360" w:lineRule="auto"/>
        <w:ind w:firstLine="480" w:firstLineChars="200"/>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地址：博爱县发展大道188号机关综合办公楼主楼1213室</w:t>
      </w:r>
    </w:p>
    <w:p w14:paraId="06DDCB77">
      <w:pPr>
        <w:spacing w:line="440" w:lineRule="exact"/>
        <w:jc w:val="center"/>
        <w:rPr>
          <w:rFonts w:ascii="宋体" w:hAnsi="宋体" w:cs="宋体"/>
          <w:b/>
          <w:color w:val="auto"/>
          <w:sz w:val="36"/>
          <w:szCs w:val="36"/>
          <w:highlight w:val="none"/>
        </w:rPr>
      </w:pPr>
    </w:p>
    <w:p w14:paraId="088BF3A5">
      <w:pPr>
        <w:spacing w:line="440" w:lineRule="exact"/>
        <w:jc w:val="center"/>
        <w:rPr>
          <w:rFonts w:ascii="宋体" w:hAnsi="宋体" w:cs="宋体"/>
          <w:b/>
          <w:color w:val="auto"/>
          <w:sz w:val="36"/>
          <w:szCs w:val="36"/>
          <w:highlight w:val="none"/>
        </w:rPr>
      </w:pPr>
    </w:p>
    <w:p w14:paraId="4186B73A">
      <w:pPr>
        <w:pStyle w:val="3"/>
        <w:rPr>
          <w:rFonts w:ascii="宋体" w:hAnsi="宋体" w:cs="宋体"/>
          <w:color w:val="auto"/>
          <w:sz w:val="36"/>
          <w:szCs w:val="36"/>
          <w:highlight w:val="none"/>
        </w:rPr>
      </w:pPr>
    </w:p>
    <w:p w14:paraId="21F02EA6">
      <w:pPr>
        <w:spacing w:line="440" w:lineRule="exact"/>
        <w:rPr>
          <w:rFonts w:ascii="宋体" w:hAnsi="宋体" w:cs="宋体"/>
          <w:b/>
          <w:color w:val="auto"/>
          <w:sz w:val="36"/>
          <w:szCs w:val="36"/>
          <w:highlight w:val="none"/>
        </w:rPr>
      </w:pPr>
    </w:p>
    <w:p w14:paraId="5A1992B3">
      <w:pPr>
        <w:pStyle w:val="35"/>
        <w:rPr>
          <w:rFonts w:ascii="宋体" w:hAnsi="宋体" w:cs="宋体"/>
          <w:color w:val="auto"/>
          <w:highlight w:val="none"/>
        </w:rPr>
      </w:pPr>
    </w:p>
    <w:p w14:paraId="76AA5498">
      <w:pPr>
        <w:pStyle w:val="36"/>
        <w:rPr>
          <w:rFonts w:ascii="宋体" w:hAnsi="宋体" w:cs="宋体"/>
          <w:color w:val="auto"/>
          <w:highlight w:val="none"/>
        </w:rPr>
      </w:pPr>
    </w:p>
    <w:p w14:paraId="1B89107F">
      <w:pPr>
        <w:pStyle w:val="37"/>
        <w:rPr>
          <w:rFonts w:ascii="宋体" w:hAnsi="宋体" w:cs="宋体"/>
          <w:color w:val="auto"/>
          <w:highlight w:val="none"/>
        </w:rPr>
      </w:pPr>
    </w:p>
    <w:p w14:paraId="6396BD9B">
      <w:pPr>
        <w:pStyle w:val="38"/>
        <w:rPr>
          <w:rFonts w:ascii="宋体" w:hAnsi="宋体" w:cs="宋体"/>
          <w:color w:val="auto"/>
          <w:highlight w:val="none"/>
        </w:rPr>
      </w:pPr>
    </w:p>
    <w:p w14:paraId="595FC53C">
      <w:pPr>
        <w:rPr>
          <w:color w:val="auto"/>
          <w:highlight w:val="none"/>
        </w:rPr>
      </w:pPr>
    </w:p>
    <w:p w14:paraId="7D68AD69">
      <w:pPr>
        <w:spacing w:line="440" w:lineRule="exact"/>
        <w:jc w:val="center"/>
        <w:rPr>
          <w:rFonts w:ascii="宋体" w:hAnsi="宋体" w:cs="宋体"/>
          <w:b/>
          <w:color w:val="auto"/>
          <w:sz w:val="36"/>
          <w:szCs w:val="36"/>
          <w:highlight w:val="none"/>
        </w:rPr>
      </w:pPr>
    </w:p>
    <w:p w14:paraId="33892A75">
      <w:pPr>
        <w:spacing w:line="440" w:lineRule="exact"/>
        <w:jc w:val="center"/>
        <w:rPr>
          <w:rFonts w:ascii="宋体" w:hAnsi="宋体" w:cs="宋体"/>
          <w:b/>
          <w:color w:val="auto"/>
          <w:sz w:val="28"/>
          <w:szCs w:val="28"/>
          <w:highlight w:val="none"/>
        </w:rPr>
      </w:pPr>
      <w:r>
        <w:rPr>
          <w:rFonts w:hint="eastAsia" w:ascii="宋体" w:hAnsi="宋体" w:cs="宋体"/>
          <w:b/>
          <w:color w:val="auto"/>
          <w:sz w:val="28"/>
          <w:szCs w:val="28"/>
          <w:highlight w:val="none"/>
        </w:rPr>
        <w:t>河南省政府采购合同融资政策告知函</w:t>
      </w:r>
    </w:p>
    <w:p w14:paraId="34DB9B8D">
      <w:pPr>
        <w:spacing w:line="420" w:lineRule="exact"/>
        <w:ind w:firstLine="420" w:firstLineChars="175"/>
        <w:rPr>
          <w:rFonts w:ascii="宋体" w:hAnsi="宋体" w:cs="宋体"/>
          <w:bCs/>
          <w:color w:val="auto"/>
          <w:sz w:val="24"/>
          <w:highlight w:val="none"/>
        </w:rPr>
      </w:pPr>
      <w:r>
        <w:rPr>
          <w:rFonts w:hint="eastAsia" w:ascii="宋体" w:hAnsi="宋体" w:cs="宋体"/>
          <w:bCs/>
          <w:color w:val="auto"/>
          <w:sz w:val="24"/>
          <w:highlight w:val="none"/>
        </w:rPr>
        <w:t>各供应商：</w:t>
      </w:r>
    </w:p>
    <w:p w14:paraId="706D6004">
      <w:pPr>
        <w:spacing w:line="420" w:lineRule="exact"/>
        <w:ind w:firstLine="420" w:firstLineChars="175"/>
        <w:rPr>
          <w:rFonts w:ascii="宋体" w:hAnsi="宋体" w:cs="宋体"/>
          <w:bCs/>
          <w:color w:val="auto"/>
          <w:sz w:val="24"/>
          <w:highlight w:val="none"/>
        </w:rPr>
      </w:pPr>
      <w:r>
        <w:rPr>
          <w:rFonts w:hint="eastAsia" w:ascii="宋体" w:hAnsi="宋体" w:cs="宋体"/>
          <w:bCs/>
          <w:color w:val="auto"/>
          <w:sz w:val="24"/>
          <w:highlight w:val="none"/>
        </w:rPr>
        <w:t xml:space="preserve">   欢迎贵公司参与河南省政府采购活动！</w:t>
      </w:r>
    </w:p>
    <w:p w14:paraId="718679C8">
      <w:pPr>
        <w:spacing w:line="420" w:lineRule="exact"/>
        <w:ind w:firstLine="420" w:firstLineChars="175"/>
        <w:rPr>
          <w:rFonts w:ascii="宋体" w:hAnsi="宋体" w:cs="宋体"/>
          <w:bCs/>
          <w:color w:val="auto"/>
          <w:sz w:val="24"/>
          <w:highlight w:val="none"/>
        </w:rPr>
      </w:pPr>
      <w:r>
        <w:rPr>
          <w:rFonts w:hint="eastAsia" w:ascii="宋体" w:hAnsi="宋体" w:cs="宋体"/>
          <w:bCs/>
          <w:color w:val="auto"/>
          <w:sz w:val="24"/>
          <w:highlight w:val="none"/>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14:paraId="1258F40E">
      <w:pPr>
        <w:spacing w:line="420" w:lineRule="exact"/>
        <w:ind w:firstLine="420" w:firstLineChars="175"/>
        <w:rPr>
          <w:rFonts w:ascii="宋体" w:hAnsi="宋体" w:cs="宋体"/>
          <w:bCs/>
          <w:color w:val="auto"/>
          <w:sz w:val="24"/>
          <w:highlight w:val="none"/>
        </w:rPr>
      </w:pPr>
      <w:r>
        <w:rPr>
          <w:rFonts w:hint="eastAsia" w:ascii="宋体" w:hAnsi="宋体" w:cs="宋体"/>
          <w:bCs/>
          <w:color w:val="auto"/>
          <w:sz w:val="24"/>
          <w:highlight w:val="none"/>
        </w:rPr>
        <w:t xml:space="preserve"> 贷款渠道和提供贷款的金融机构，可在河南省政府采购网“河南省政府采购合同融资平台”查询联系。</w:t>
      </w:r>
    </w:p>
    <w:p w14:paraId="174375C9">
      <w:pPr>
        <w:jc w:val="center"/>
        <w:rPr>
          <w:rFonts w:ascii="宋体" w:hAnsi="宋体" w:cs="宋体"/>
          <w:b/>
          <w:color w:val="auto"/>
          <w:sz w:val="32"/>
          <w:szCs w:val="32"/>
          <w:highlight w:val="none"/>
        </w:rPr>
      </w:pPr>
      <w:r>
        <w:rPr>
          <w:rFonts w:hint="eastAsia" w:ascii="宋体" w:hAnsi="宋体" w:cs="宋体"/>
          <w:b/>
          <w:color w:val="auto"/>
          <w:sz w:val="32"/>
          <w:szCs w:val="32"/>
          <w:highlight w:val="none"/>
        </w:rPr>
        <w:t>焦作市政府采购合同融资合作企业</w:t>
      </w:r>
    </w:p>
    <w:tbl>
      <w:tblPr>
        <w:tblStyle w:val="28"/>
        <w:tblW w:w="9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3"/>
        <w:gridCol w:w="1353"/>
        <w:gridCol w:w="2064"/>
        <w:gridCol w:w="2558"/>
      </w:tblGrid>
      <w:tr w14:paraId="6923A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4023" w:type="dxa"/>
            <w:vAlign w:val="center"/>
          </w:tcPr>
          <w:p w14:paraId="5EA13999">
            <w:pPr>
              <w:widowControl/>
              <w:tabs>
                <w:tab w:val="left" w:pos="0"/>
              </w:tabs>
              <w:spacing w:line="360" w:lineRule="auto"/>
              <w:jc w:val="center"/>
              <w:rPr>
                <w:rFonts w:ascii="宋体" w:hAnsi="宋体" w:cs="宋体"/>
                <w:color w:val="auto"/>
                <w:sz w:val="24"/>
                <w:highlight w:val="none"/>
              </w:rPr>
            </w:pPr>
            <w:r>
              <w:rPr>
                <w:rFonts w:hint="eastAsia" w:ascii="宋体" w:hAnsi="宋体" w:cs="宋体"/>
                <w:color w:val="auto"/>
                <w:sz w:val="24"/>
                <w:highlight w:val="none"/>
              </w:rPr>
              <w:t>名称</w:t>
            </w:r>
          </w:p>
        </w:tc>
        <w:tc>
          <w:tcPr>
            <w:tcW w:w="1353" w:type="dxa"/>
            <w:vAlign w:val="center"/>
          </w:tcPr>
          <w:p w14:paraId="13B59F5D">
            <w:pPr>
              <w:widowControl/>
              <w:tabs>
                <w:tab w:val="left" w:pos="0"/>
              </w:tabs>
              <w:spacing w:line="360" w:lineRule="auto"/>
              <w:jc w:val="center"/>
              <w:rPr>
                <w:rFonts w:ascii="宋体" w:hAnsi="宋体" w:cs="宋体"/>
                <w:color w:val="auto"/>
                <w:sz w:val="24"/>
                <w:highlight w:val="none"/>
              </w:rPr>
            </w:pPr>
            <w:r>
              <w:rPr>
                <w:rFonts w:hint="eastAsia" w:ascii="宋体" w:hAnsi="宋体" w:cs="宋体"/>
                <w:color w:val="auto"/>
                <w:sz w:val="24"/>
                <w:highlight w:val="none"/>
              </w:rPr>
              <w:t>联系人</w:t>
            </w:r>
          </w:p>
        </w:tc>
        <w:tc>
          <w:tcPr>
            <w:tcW w:w="2064" w:type="dxa"/>
            <w:vAlign w:val="center"/>
          </w:tcPr>
          <w:p w14:paraId="4AB22C6E">
            <w:pPr>
              <w:widowControl/>
              <w:tabs>
                <w:tab w:val="left" w:pos="0"/>
              </w:tabs>
              <w:spacing w:line="360" w:lineRule="auto"/>
              <w:jc w:val="center"/>
              <w:rPr>
                <w:rFonts w:ascii="宋体" w:hAnsi="宋体" w:cs="宋体"/>
                <w:color w:val="auto"/>
                <w:sz w:val="24"/>
                <w:highlight w:val="none"/>
              </w:rPr>
            </w:pPr>
            <w:r>
              <w:rPr>
                <w:rFonts w:hint="eastAsia" w:ascii="宋体" w:hAnsi="宋体" w:cs="宋体"/>
                <w:color w:val="auto"/>
                <w:sz w:val="24"/>
                <w:highlight w:val="none"/>
              </w:rPr>
              <w:t>联系电话</w:t>
            </w:r>
          </w:p>
        </w:tc>
        <w:tc>
          <w:tcPr>
            <w:tcW w:w="2558" w:type="dxa"/>
            <w:vAlign w:val="center"/>
          </w:tcPr>
          <w:p w14:paraId="5E1F69C3">
            <w:pPr>
              <w:widowControl/>
              <w:tabs>
                <w:tab w:val="left" w:pos="0"/>
              </w:tabs>
              <w:spacing w:line="360" w:lineRule="auto"/>
              <w:jc w:val="center"/>
              <w:rPr>
                <w:rFonts w:ascii="宋体" w:hAnsi="宋体" w:cs="宋体"/>
                <w:color w:val="auto"/>
                <w:sz w:val="24"/>
                <w:highlight w:val="none"/>
              </w:rPr>
            </w:pPr>
            <w:r>
              <w:rPr>
                <w:rFonts w:hint="eastAsia" w:ascii="宋体" w:hAnsi="宋体" w:cs="宋体"/>
                <w:color w:val="auto"/>
                <w:sz w:val="24"/>
                <w:highlight w:val="none"/>
              </w:rPr>
              <w:t>地址</w:t>
            </w:r>
          </w:p>
        </w:tc>
      </w:tr>
      <w:tr w14:paraId="57080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4023" w:type="dxa"/>
            <w:shd w:val="clear" w:color="auto" w:fill="auto"/>
            <w:vAlign w:val="center"/>
          </w:tcPr>
          <w:p w14:paraId="51D2244C">
            <w:pPr>
              <w:widowControl/>
              <w:tabs>
                <w:tab w:val="left" w:pos="0"/>
              </w:tabs>
              <w:spacing w:line="360" w:lineRule="auto"/>
              <w:rPr>
                <w:rFonts w:ascii="宋体" w:hAnsi="宋体" w:cs="宋体"/>
                <w:color w:val="auto"/>
                <w:sz w:val="24"/>
                <w:highlight w:val="none"/>
              </w:rPr>
            </w:pPr>
            <w:r>
              <w:rPr>
                <w:rFonts w:hint="eastAsia" w:ascii="宋体" w:hAnsi="宋体" w:cs="宋体"/>
                <w:color w:val="auto"/>
                <w:sz w:val="24"/>
                <w:highlight w:val="none"/>
              </w:rPr>
              <w:t>中国农业银行股份有限公司焦作分行</w:t>
            </w:r>
          </w:p>
        </w:tc>
        <w:tc>
          <w:tcPr>
            <w:tcW w:w="1353" w:type="dxa"/>
            <w:shd w:val="solid" w:color="FFFFFF" w:fill="auto"/>
            <w:vAlign w:val="center"/>
          </w:tcPr>
          <w:p w14:paraId="4BC7B360">
            <w:pPr>
              <w:shd w:val="solid" w:color="FFFFFF" w:fill="auto"/>
              <w:autoSpaceDN w:val="0"/>
              <w:spacing w:line="360" w:lineRule="auto"/>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薛国战</w:t>
            </w:r>
          </w:p>
        </w:tc>
        <w:tc>
          <w:tcPr>
            <w:tcW w:w="2064" w:type="dxa"/>
            <w:shd w:val="solid" w:color="FFFFFF" w:fill="auto"/>
            <w:vAlign w:val="center"/>
          </w:tcPr>
          <w:p w14:paraId="7125F4FD">
            <w:pPr>
              <w:shd w:val="solid" w:color="FFFFFF" w:fill="auto"/>
              <w:autoSpaceDN w:val="0"/>
              <w:spacing w:line="360" w:lineRule="auto"/>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0391-2878039       13839109026</w:t>
            </w:r>
          </w:p>
        </w:tc>
        <w:tc>
          <w:tcPr>
            <w:tcW w:w="2558" w:type="dxa"/>
            <w:shd w:val="solid" w:color="FFFFFF" w:fill="auto"/>
            <w:vAlign w:val="center"/>
          </w:tcPr>
          <w:p w14:paraId="58AA250F">
            <w:pPr>
              <w:shd w:val="solid" w:color="FFFFFF" w:fill="auto"/>
              <w:autoSpaceDN w:val="0"/>
              <w:spacing w:line="360" w:lineRule="auto"/>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焦作市民主南路88号</w:t>
            </w:r>
          </w:p>
        </w:tc>
      </w:tr>
      <w:tr w14:paraId="74540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3" w:type="dxa"/>
            <w:shd w:val="clear" w:color="auto" w:fill="auto"/>
            <w:vAlign w:val="center"/>
          </w:tcPr>
          <w:p w14:paraId="00C6A1CF">
            <w:pPr>
              <w:widowControl/>
              <w:tabs>
                <w:tab w:val="left" w:pos="0"/>
              </w:tabs>
              <w:spacing w:line="360" w:lineRule="auto"/>
              <w:rPr>
                <w:rFonts w:ascii="宋体" w:hAnsi="宋体" w:cs="宋体"/>
                <w:color w:val="auto"/>
                <w:sz w:val="24"/>
                <w:highlight w:val="none"/>
              </w:rPr>
            </w:pPr>
            <w:r>
              <w:rPr>
                <w:rFonts w:hint="eastAsia" w:ascii="宋体" w:hAnsi="宋体" w:cs="宋体"/>
                <w:color w:val="auto"/>
                <w:sz w:val="24"/>
                <w:highlight w:val="none"/>
              </w:rPr>
              <w:t>中国银行股份有限公司焦作分行</w:t>
            </w:r>
          </w:p>
        </w:tc>
        <w:tc>
          <w:tcPr>
            <w:tcW w:w="1353" w:type="dxa"/>
            <w:shd w:val="solid" w:color="FFFFFF" w:fill="auto"/>
            <w:vAlign w:val="center"/>
          </w:tcPr>
          <w:p w14:paraId="4BFC6F44">
            <w:pPr>
              <w:shd w:val="solid" w:color="FFFFFF" w:fill="auto"/>
              <w:autoSpaceDN w:val="0"/>
              <w:spacing w:line="360" w:lineRule="auto"/>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曹阳</w:t>
            </w:r>
          </w:p>
        </w:tc>
        <w:tc>
          <w:tcPr>
            <w:tcW w:w="2064" w:type="dxa"/>
            <w:shd w:val="solid" w:color="FFFFFF" w:fill="auto"/>
            <w:vAlign w:val="center"/>
          </w:tcPr>
          <w:p w14:paraId="720AC7F3">
            <w:pPr>
              <w:shd w:val="solid" w:color="FFFFFF" w:fill="auto"/>
              <w:autoSpaceDN w:val="0"/>
              <w:spacing w:line="360" w:lineRule="auto"/>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0391-8825171  13839118160</w:t>
            </w:r>
          </w:p>
        </w:tc>
        <w:tc>
          <w:tcPr>
            <w:tcW w:w="2558" w:type="dxa"/>
            <w:shd w:val="solid" w:color="FFFFFF" w:fill="auto"/>
            <w:vAlign w:val="center"/>
          </w:tcPr>
          <w:p w14:paraId="0AFB5FD5">
            <w:pPr>
              <w:shd w:val="solid" w:color="FFFFFF" w:fill="auto"/>
              <w:autoSpaceDN w:val="0"/>
              <w:spacing w:line="360" w:lineRule="auto"/>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焦作市丰收路159号</w:t>
            </w:r>
          </w:p>
        </w:tc>
      </w:tr>
      <w:tr w14:paraId="50B4E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023" w:type="dxa"/>
            <w:shd w:val="clear" w:color="auto" w:fill="auto"/>
            <w:vAlign w:val="center"/>
          </w:tcPr>
          <w:p w14:paraId="3E544BBA">
            <w:pPr>
              <w:widowControl/>
              <w:tabs>
                <w:tab w:val="left" w:pos="0"/>
              </w:tabs>
              <w:spacing w:line="360" w:lineRule="auto"/>
              <w:rPr>
                <w:rFonts w:ascii="宋体" w:hAnsi="宋体" w:cs="宋体"/>
                <w:color w:val="auto"/>
                <w:sz w:val="24"/>
                <w:highlight w:val="none"/>
              </w:rPr>
            </w:pPr>
            <w:r>
              <w:rPr>
                <w:rFonts w:hint="eastAsia" w:ascii="宋体" w:hAnsi="宋体" w:cs="宋体"/>
                <w:color w:val="auto"/>
                <w:sz w:val="24"/>
                <w:highlight w:val="none"/>
              </w:rPr>
              <w:t>中国建设银行股份有限公司焦作分行</w:t>
            </w:r>
          </w:p>
        </w:tc>
        <w:tc>
          <w:tcPr>
            <w:tcW w:w="1353" w:type="dxa"/>
            <w:shd w:val="clear" w:color="auto" w:fill="auto"/>
            <w:vAlign w:val="center"/>
          </w:tcPr>
          <w:p w14:paraId="364380A5">
            <w:pPr>
              <w:widowControl/>
              <w:tabs>
                <w:tab w:val="left" w:pos="0"/>
              </w:tabs>
              <w:spacing w:line="360" w:lineRule="auto"/>
              <w:jc w:val="center"/>
              <w:rPr>
                <w:rFonts w:ascii="宋体" w:hAnsi="宋体" w:cs="宋体"/>
                <w:color w:val="auto"/>
                <w:sz w:val="24"/>
                <w:highlight w:val="none"/>
              </w:rPr>
            </w:pPr>
            <w:r>
              <w:rPr>
                <w:rFonts w:hint="eastAsia" w:ascii="宋体" w:hAnsi="宋体" w:cs="宋体"/>
                <w:color w:val="auto"/>
                <w:sz w:val="24"/>
                <w:highlight w:val="none"/>
              </w:rPr>
              <w:t>李华莹</w:t>
            </w:r>
          </w:p>
        </w:tc>
        <w:tc>
          <w:tcPr>
            <w:tcW w:w="2064" w:type="dxa"/>
            <w:shd w:val="clear" w:color="auto" w:fill="auto"/>
            <w:vAlign w:val="center"/>
          </w:tcPr>
          <w:p w14:paraId="60D62B8B">
            <w:pPr>
              <w:widowControl/>
              <w:tabs>
                <w:tab w:val="left" w:pos="0"/>
              </w:tabs>
              <w:spacing w:line="360" w:lineRule="auto"/>
              <w:jc w:val="center"/>
              <w:rPr>
                <w:rFonts w:ascii="宋体" w:hAnsi="宋体" w:cs="宋体"/>
                <w:color w:val="auto"/>
                <w:sz w:val="24"/>
                <w:highlight w:val="none"/>
              </w:rPr>
            </w:pPr>
            <w:r>
              <w:rPr>
                <w:rFonts w:hint="eastAsia" w:ascii="宋体" w:hAnsi="宋体" w:cs="宋体"/>
                <w:color w:val="auto"/>
                <w:sz w:val="24"/>
                <w:highlight w:val="none"/>
              </w:rPr>
              <w:t>0391-3918471</w:t>
            </w:r>
          </w:p>
        </w:tc>
        <w:tc>
          <w:tcPr>
            <w:tcW w:w="2558" w:type="dxa"/>
            <w:shd w:val="solid" w:color="FFFFFF" w:fill="auto"/>
            <w:vAlign w:val="center"/>
          </w:tcPr>
          <w:p w14:paraId="3FED72BA">
            <w:pPr>
              <w:widowControl/>
              <w:tabs>
                <w:tab w:val="left" w:pos="0"/>
              </w:tabs>
              <w:spacing w:line="360" w:lineRule="auto"/>
              <w:rPr>
                <w:rFonts w:ascii="宋体" w:hAnsi="宋体" w:cs="宋体"/>
                <w:color w:val="auto"/>
                <w:sz w:val="24"/>
                <w:highlight w:val="none"/>
              </w:rPr>
            </w:pPr>
            <w:r>
              <w:rPr>
                <w:rFonts w:hint="eastAsia" w:ascii="宋体" w:hAnsi="宋体" w:cs="宋体"/>
                <w:color w:val="auto"/>
                <w:sz w:val="24"/>
                <w:highlight w:val="none"/>
              </w:rPr>
              <w:t>焦作市建设东路152号</w:t>
            </w:r>
          </w:p>
        </w:tc>
      </w:tr>
      <w:tr w14:paraId="71D33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3" w:type="dxa"/>
            <w:shd w:val="clear" w:color="auto" w:fill="auto"/>
            <w:vAlign w:val="center"/>
          </w:tcPr>
          <w:p w14:paraId="2656097D">
            <w:pPr>
              <w:widowControl/>
              <w:tabs>
                <w:tab w:val="left" w:pos="0"/>
              </w:tabs>
              <w:spacing w:line="360" w:lineRule="auto"/>
              <w:rPr>
                <w:rFonts w:ascii="宋体" w:hAnsi="宋体" w:cs="宋体"/>
                <w:color w:val="auto"/>
                <w:sz w:val="24"/>
                <w:highlight w:val="none"/>
              </w:rPr>
            </w:pPr>
            <w:r>
              <w:rPr>
                <w:rFonts w:hint="eastAsia" w:ascii="宋体" w:hAnsi="宋体" w:cs="宋体"/>
                <w:color w:val="auto"/>
                <w:sz w:val="24"/>
                <w:highlight w:val="none"/>
              </w:rPr>
              <w:t>中国邮政储蓄银行股份有限公司焦作市分行</w:t>
            </w:r>
          </w:p>
        </w:tc>
        <w:tc>
          <w:tcPr>
            <w:tcW w:w="1353" w:type="dxa"/>
            <w:shd w:val="solid" w:color="FFFFFF" w:fill="auto"/>
            <w:vAlign w:val="center"/>
          </w:tcPr>
          <w:p w14:paraId="31CB9DCA">
            <w:pPr>
              <w:shd w:val="solid" w:color="FFFFFF" w:fill="auto"/>
              <w:autoSpaceDN w:val="0"/>
              <w:spacing w:line="360" w:lineRule="auto"/>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李天祥</w:t>
            </w:r>
          </w:p>
        </w:tc>
        <w:tc>
          <w:tcPr>
            <w:tcW w:w="2064" w:type="dxa"/>
            <w:shd w:val="solid" w:color="FFFFFF" w:fill="auto"/>
            <w:vAlign w:val="center"/>
          </w:tcPr>
          <w:p w14:paraId="5F4CEE28">
            <w:pPr>
              <w:shd w:val="solid" w:color="FFFFFF" w:fill="auto"/>
              <w:autoSpaceDN w:val="0"/>
              <w:spacing w:line="360" w:lineRule="auto"/>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0391-2981968 13523359082</w:t>
            </w:r>
          </w:p>
        </w:tc>
        <w:tc>
          <w:tcPr>
            <w:tcW w:w="2558" w:type="dxa"/>
            <w:shd w:val="solid" w:color="FFFFFF" w:fill="auto"/>
            <w:vAlign w:val="center"/>
          </w:tcPr>
          <w:p w14:paraId="0BF165CC">
            <w:pPr>
              <w:shd w:val="solid" w:color="FFFFFF" w:fill="auto"/>
              <w:autoSpaceDN w:val="0"/>
              <w:spacing w:line="360" w:lineRule="auto"/>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焦作市丰收中路2233号</w:t>
            </w:r>
          </w:p>
        </w:tc>
      </w:tr>
      <w:tr w14:paraId="547C5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4023" w:type="dxa"/>
            <w:shd w:val="clear" w:color="auto" w:fill="auto"/>
            <w:vAlign w:val="center"/>
          </w:tcPr>
          <w:p w14:paraId="5F6ADBFD">
            <w:pPr>
              <w:widowControl/>
              <w:tabs>
                <w:tab w:val="left" w:pos="0"/>
              </w:tabs>
              <w:spacing w:line="360" w:lineRule="auto"/>
              <w:rPr>
                <w:rFonts w:ascii="宋体" w:hAnsi="宋体" w:cs="宋体"/>
                <w:color w:val="auto"/>
                <w:sz w:val="24"/>
                <w:highlight w:val="none"/>
              </w:rPr>
            </w:pPr>
            <w:r>
              <w:rPr>
                <w:rFonts w:hint="eastAsia" w:ascii="宋体" w:hAnsi="宋体" w:cs="宋体"/>
                <w:color w:val="auto"/>
                <w:sz w:val="24"/>
                <w:highlight w:val="none"/>
              </w:rPr>
              <w:t>焦作中旅银行股份有限公司</w:t>
            </w:r>
          </w:p>
        </w:tc>
        <w:tc>
          <w:tcPr>
            <w:tcW w:w="1353" w:type="dxa"/>
            <w:shd w:val="solid" w:color="FFFFFF" w:fill="auto"/>
            <w:vAlign w:val="center"/>
          </w:tcPr>
          <w:p w14:paraId="0F7052DA">
            <w:pPr>
              <w:shd w:val="solid" w:color="FFFFFF" w:fill="auto"/>
              <w:autoSpaceDN w:val="0"/>
              <w:spacing w:line="360" w:lineRule="auto"/>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周建林</w:t>
            </w:r>
          </w:p>
        </w:tc>
        <w:tc>
          <w:tcPr>
            <w:tcW w:w="2064" w:type="dxa"/>
            <w:shd w:val="solid" w:color="FFFFFF" w:fill="auto"/>
            <w:vAlign w:val="center"/>
          </w:tcPr>
          <w:p w14:paraId="383564F0">
            <w:pPr>
              <w:shd w:val="solid" w:color="FFFFFF" w:fill="auto"/>
              <w:autoSpaceDN w:val="0"/>
              <w:spacing w:line="360" w:lineRule="auto"/>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 xml:space="preserve">0391-2116963 15893053027 </w:t>
            </w:r>
          </w:p>
        </w:tc>
        <w:tc>
          <w:tcPr>
            <w:tcW w:w="2558" w:type="dxa"/>
            <w:shd w:val="solid" w:color="FFFFFF" w:fill="auto"/>
            <w:vAlign w:val="center"/>
          </w:tcPr>
          <w:p w14:paraId="268C724B">
            <w:pPr>
              <w:shd w:val="solid" w:color="FFFFFF" w:fill="auto"/>
              <w:autoSpaceDN w:val="0"/>
              <w:spacing w:line="360" w:lineRule="auto"/>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焦作市山阳区迎宾路1号</w:t>
            </w:r>
          </w:p>
        </w:tc>
      </w:tr>
      <w:tr w14:paraId="1F196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4023" w:type="dxa"/>
            <w:shd w:val="clear" w:color="auto" w:fill="auto"/>
            <w:vAlign w:val="center"/>
          </w:tcPr>
          <w:p w14:paraId="50942B1F">
            <w:pPr>
              <w:widowControl/>
              <w:tabs>
                <w:tab w:val="left" w:pos="0"/>
              </w:tabs>
              <w:spacing w:line="360" w:lineRule="auto"/>
              <w:rPr>
                <w:rFonts w:ascii="宋体" w:hAnsi="宋体" w:cs="宋体"/>
                <w:color w:val="auto"/>
                <w:sz w:val="24"/>
                <w:highlight w:val="none"/>
              </w:rPr>
            </w:pPr>
            <w:r>
              <w:rPr>
                <w:rFonts w:hint="eastAsia" w:ascii="宋体" w:hAnsi="宋体" w:cs="宋体"/>
                <w:color w:val="auto"/>
                <w:sz w:val="24"/>
                <w:highlight w:val="none"/>
              </w:rPr>
              <w:t>中信银行股份有限公司焦作分行</w:t>
            </w:r>
          </w:p>
        </w:tc>
        <w:tc>
          <w:tcPr>
            <w:tcW w:w="1353" w:type="dxa"/>
            <w:shd w:val="clear" w:color="auto" w:fill="auto"/>
            <w:vAlign w:val="center"/>
          </w:tcPr>
          <w:p w14:paraId="2D09CAF3">
            <w:pPr>
              <w:widowControl/>
              <w:tabs>
                <w:tab w:val="left" w:pos="0"/>
              </w:tabs>
              <w:spacing w:line="360" w:lineRule="auto"/>
              <w:jc w:val="center"/>
              <w:rPr>
                <w:rFonts w:ascii="宋体" w:hAnsi="宋体" w:cs="宋体"/>
                <w:color w:val="auto"/>
                <w:sz w:val="24"/>
                <w:highlight w:val="none"/>
              </w:rPr>
            </w:pPr>
            <w:r>
              <w:rPr>
                <w:rFonts w:hint="eastAsia" w:ascii="宋体" w:hAnsi="宋体" w:cs="宋体"/>
                <w:color w:val="auto"/>
                <w:sz w:val="24"/>
                <w:highlight w:val="none"/>
              </w:rPr>
              <w:t>周江江</w:t>
            </w:r>
          </w:p>
        </w:tc>
        <w:tc>
          <w:tcPr>
            <w:tcW w:w="2064" w:type="dxa"/>
            <w:shd w:val="clear" w:color="auto" w:fill="auto"/>
            <w:vAlign w:val="center"/>
          </w:tcPr>
          <w:p w14:paraId="45242742">
            <w:pPr>
              <w:widowControl/>
              <w:tabs>
                <w:tab w:val="left" w:pos="0"/>
              </w:tabs>
              <w:spacing w:line="360" w:lineRule="auto"/>
              <w:rPr>
                <w:rFonts w:ascii="宋体" w:hAnsi="宋体" w:cs="宋体"/>
                <w:color w:val="auto"/>
                <w:sz w:val="24"/>
                <w:highlight w:val="none"/>
              </w:rPr>
            </w:pPr>
            <w:r>
              <w:rPr>
                <w:rFonts w:hint="eastAsia" w:ascii="宋体" w:hAnsi="宋体" w:cs="宋体"/>
                <w:color w:val="auto"/>
                <w:sz w:val="24"/>
                <w:highlight w:val="none"/>
              </w:rPr>
              <w:t>17639185001</w:t>
            </w:r>
          </w:p>
        </w:tc>
        <w:tc>
          <w:tcPr>
            <w:tcW w:w="2558" w:type="dxa"/>
            <w:shd w:val="solid" w:color="FFFFFF" w:fill="auto"/>
            <w:vAlign w:val="center"/>
          </w:tcPr>
          <w:p w14:paraId="09D1C932">
            <w:pPr>
              <w:widowControl/>
              <w:tabs>
                <w:tab w:val="left" w:pos="0"/>
              </w:tabs>
              <w:spacing w:line="360" w:lineRule="auto"/>
              <w:rPr>
                <w:rFonts w:ascii="宋体" w:hAnsi="宋体" w:cs="宋体"/>
                <w:color w:val="auto"/>
                <w:sz w:val="24"/>
                <w:highlight w:val="none"/>
              </w:rPr>
            </w:pPr>
            <w:r>
              <w:rPr>
                <w:rFonts w:hint="eastAsia" w:ascii="宋体" w:hAnsi="宋体" w:cs="宋体"/>
                <w:color w:val="auto"/>
                <w:sz w:val="24"/>
                <w:highlight w:val="none"/>
              </w:rPr>
              <w:t>焦作市塔南路1736号嘉隆国际中心</w:t>
            </w:r>
          </w:p>
        </w:tc>
      </w:tr>
      <w:tr w14:paraId="2BBCE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4023" w:type="dxa"/>
            <w:shd w:val="clear" w:color="auto" w:fill="auto"/>
            <w:vAlign w:val="center"/>
          </w:tcPr>
          <w:p w14:paraId="1D148BC6">
            <w:pPr>
              <w:widowControl/>
              <w:tabs>
                <w:tab w:val="left" w:pos="0"/>
              </w:tabs>
              <w:spacing w:line="360" w:lineRule="auto"/>
              <w:rPr>
                <w:rFonts w:ascii="宋体" w:hAnsi="宋体" w:cs="宋体"/>
                <w:color w:val="auto"/>
                <w:sz w:val="24"/>
                <w:highlight w:val="none"/>
              </w:rPr>
            </w:pPr>
            <w:r>
              <w:rPr>
                <w:rFonts w:hint="eastAsia" w:ascii="宋体" w:hAnsi="宋体" w:cs="宋体"/>
                <w:bCs/>
                <w:color w:val="auto"/>
                <w:sz w:val="24"/>
                <w:highlight w:val="none"/>
              </w:rPr>
              <w:t>中国光大银行股份有限公司焦作分行</w:t>
            </w:r>
          </w:p>
        </w:tc>
        <w:tc>
          <w:tcPr>
            <w:tcW w:w="1353" w:type="dxa"/>
            <w:shd w:val="solid" w:color="FFFFFF" w:fill="auto"/>
            <w:vAlign w:val="center"/>
          </w:tcPr>
          <w:p w14:paraId="6C2735BA">
            <w:pPr>
              <w:shd w:val="solid" w:color="FFFFFF" w:fill="auto"/>
              <w:autoSpaceDN w:val="0"/>
              <w:spacing w:line="360" w:lineRule="auto"/>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王海宾</w:t>
            </w:r>
          </w:p>
        </w:tc>
        <w:tc>
          <w:tcPr>
            <w:tcW w:w="2064" w:type="dxa"/>
            <w:shd w:val="solid" w:color="FFFFFF" w:fill="auto"/>
            <w:vAlign w:val="center"/>
          </w:tcPr>
          <w:p w14:paraId="60474AC4">
            <w:pPr>
              <w:shd w:val="solid" w:color="FFFFFF" w:fill="auto"/>
              <w:autoSpaceDN w:val="0"/>
              <w:spacing w:line="360" w:lineRule="auto"/>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0391-8787996 13598534626</w:t>
            </w:r>
          </w:p>
        </w:tc>
        <w:tc>
          <w:tcPr>
            <w:tcW w:w="2558" w:type="dxa"/>
            <w:shd w:val="solid" w:color="FFFFFF" w:fill="auto"/>
            <w:vAlign w:val="center"/>
          </w:tcPr>
          <w:p w14:paraId="7C5DC164">
            <w:pPr>
              <w:shd w:val="solid" w:color="FFFFFF" w:fill="auto"/>
              <w:autoSpaceDN w:val="0"/>
              <w:spacing w:line="360" w:lineRule="auto"/>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焦作市塔南路1736号</w:t>
            </w:r>
          </w:p>
        </w:tc>
      </w:tr>
      <w:tr w14:paraId="39FD5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4023" w:type="dxa"/>
            <w:shd w:val="clear" w:color="auto" w:fill="auto"/>
            <w:vAlign w:val="center"/>
          </w:tcPr>
          <w:p w14:paraId="5D35099B">
            <w:pPr>
              <w:widowControl/>
              <w:tabs>
                <w:tab w:val="left" w:pos="0"/>
              </w:tabs>
              <w:spacing w:line="360" w:lineRule="auto"/>
              <w:rPr>
                <w:rFonts w:ascii="宋体" w:hAnsi="宋体" w:cs="宋体"/>
                <w:color w:val="auto"/>
                <w:sz w:val="24"/>
                <w:highlight w:val="none"/>
              </w:rPr>
            </w:pPr>
            <w:r>
              <w:rPr>
                <w:rFonts w:hint="eastAsia" w:ascii="宋体" w:hAnsi="宋体" w:cs="宋体"/>
                <w:color w:val="auto"/>
                <w:sz w:val="24"/>
                <w:highlight w:val="none"/>
              </w:rPr>
              <w:t>中原银行股份有限公司焦作分行</w:t>
            </w:r>
          </w:p>
        </w:tc>
        <w:tc>
          <w:tcPr>
            <w:tcW w:w="1353" w:type="dxa"/>
            <w:shd w:val="solid" w:color="FFFFFF" w:fill="auto"/>
            <w:vAlign w:val="center"/>
          </w:tcPr>
          <w:p w14:paraId="76906C14">
            <w:pPr>
              <w:shd w:val="solid" w:color="FFFFFF" w:fill="auto"/>
              <w:autoSpaceDN w:val="0"/>
              <w:spacing w:line="360" w:lineRule="auto"/>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赵伟</w:t>
            </w:r>
          </w:p>
        </w:tc>
        <w:tc>
          <w:tcPr>
            <w:tcW w:w="2064" w:type="dxa"/>
            <w:shd w:val="solid" w:color="FFFFFF" w:fill="auto"/>
            <w:vAlign w:val="center"/>
          </w:tcPr>
          <w:p w14:paraId="3B282D8E">
            <w:pPr>
              <w:shd w:val="solid" w:color="FFFFFF" w:fill="auto"/>
              <w:autoSpaceDN w:val="0"/>
              <w:spacing w:line="360" w:lineRule="auto"/>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0391-8796520 15738533033</w:t>
            </w:r>
          </w:p>
        </w:tc>
        <w:tc>
          <w:tcPr>
            <w:tcW w:w="2558" w:type="dxa"/>
            <w:shd w:val="solid" w:color="FFFFFF" w:fill="auto"/>
            <w:vAlign w:val="center"/>
          </w:tcPr>
          <w:p w14:paraId="7EDDF9D3">
            <w:pPr>
              <w:shd w:val="solid" w:color="FFFFFF" w:fill="auto"/>
              <w:autoSpaceDN w:val="0"/>
              <w:spacing w:line="360" w:lineRule="auto"/>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焦作市解放区人民路479号</w:t>
            </w:r>
          </w:p>
        </w:tc>
      </w:tr>
      <w:tr w14:paraId="57C7B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4023" w:type="dxa"/>
            <w:shd w:val="clear" w:color="auto" w:fill="auto"/>
            <w:vAlign w:val="center"/>
          </w:tcPr>
          <w:p w14:paraId="17A58234">
            <w:pPr>
              <w:widowControl/>
              <w:tabs>
                <w:tab w:val="left" w:pos="0"/>
              </w:tabs>
              <w:spacing w:line="360" w:lineRule="auto"/>
              <w:rPr>
                <w:rFonts w:ascii="宋体" w:hAnsi="宋体" w:cs="宋体"/>
                <w:color w:val="auto"/>
                <w:sz w:val="24"/>
                <w:highlight w:val="none"/>
              </w:rPr>
            </w:pPr>
            <w:r>
              <w:rPr>
                <w:rFonts w:hint="eastAsia" w:ascii="宋体" w:hAnsi="宋体" w:cs="宋体"/>
                <w:color w:val="auto"/>
                <w:sz w:val="24"/>
                <w:highlight w:val="none"/>
              </w:rPr>
              <w:t>广发银行股份有限公司焦作分行</w:t>
            </w:r>
          </w:p>
        </w:tc>
        <w:tc>
          <w:tcPr>
            <w:tcW w:w="1353" w:type="dxa"/>
            <w:shd w:val="solid" w:color="FFFFFF" w:fill="auto"/>
            <w:vAlign w:val="center"/>
          </w:tcPr>
          <w:p w14:paraId="4759E60F">
            <w:pPr>
              <w:shd w:val="solid" w:color="FFFFFF" w:fill="auto"/>
              <w:autoSpaceDN w:val="0"/>
              <w:spacing w:line="360" w:lineRule="auto"/>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张嘉强</w:t>
            </w:r>
          </w:p>
        </w:tc>
        <w:tc>
          <w:tcPr>
            <w:tcW w:w="2064" w:type="dxa"/>
            <w:shd w:val="solid" w:color="FFFFFF" w:fill="auto"/>
            <w:vAlign w:val="center"/>
          </w:tcPr>
          <w:p w14:paraId="4A08B454">
            <w:pPr>
              <w:shd w:val="solid" w:color="FFFFFF" w:fill="auto"/>
              <w:autoSpaceDN w:val="0"/>
              <w:spacing w:line="360" w:lineRule="auto"/>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0391-653785 13203910032</w:t>
            </w:r>
          </w:p>
        </w:tc>
        <w:tc>
          <w:tcPr>
            <w:tcW w:w="2558" w:type="dxa"/>
            <w:shd w:val="solid" w:color="FFFFFF" w:fill="auto"/>
            <w:vAlign w:val="center"/>
          </w:tcPr>
          <w:p w14:paraId="6235DE87">
            <w:pPr>
              <w:shd w:val="solid" w:color="FFFFFF" w:fill="auto"/>
              <w:autoSpaceDN w:val="0"/>
              <w:spacing w:line="360" w:lineRule="auto"/>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焦作市塔南路1736号嘉隆金融中心</w:t>
            </w:r>
          </w:p>
        </w:tc>
      </w:tr>
    </w:tbl>
    <w:p w14:paraId="54A4DC2F">
      <w:pPr>
        <w:rPr>
          <w:rFonts w:ascii="宋体" w:hAnsi="宋体" w:cs="宋体"/>
          <w:color w:val="auto"/>
          <w:highlight w:val="none"/>
        </w:rPr>
      </w:pPr>
      <w:r>
        <w:rPr>
          <w:rFonts w:hint="eastAsia" w:ascii="宋体" w:hAnsi="宋体" w:cs="宋体"/>
          <w:color w:val="auto"/>
          <w:sz w:val="24"/>
          <w:highlight w:val="none"/>
        </w:rPr>
        <w:t>备注：融资服务机构名单和人员联系方式会随时变化。具体情况可登录“焦作市政府采购网”政府采购合同融资平台查询。</w:t>
      </w:r>
    </w:p>
    <w:sectPr>
      <w:pgSz w:w="11905" w:h="16838"/>
      <w:pgMar w:top="1440" w:right="1463" w:bottom="1440" w:left="1463" w:header="0" w:footer="737" w:gutter="0"/>
      <w:cols w:space="0" w:num="1"/>
      <w:rtlGutter w:val="0"/>
      <w:docGrid w:linePitch="3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Book Antiqua">
    <w:altName w:val="Segoe Print"/>
    <w:panose1 w:val="02040602050305030304"/>
    <w:charset w:val="00"/>
    <w:family w:val="roman"/>
    <w:pitch w:val="default"/>
    <w:sig w:usb0="00000000" w:usb1="00000000" w:usb2="00000000" w:usb3="00000000" w:csb0="2000009F" w:csb1="DFD70000"/>
  </w:font>
  <w:font w:name="Calibri Light">
    <w:panose1 w:val="020F03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MS Gothic">
    <w:panose1 w:val="020B0609070205080204"/>
    <w:charset w:val="80"/>
    <w:family w:val="modern"/>
    <w:pitch w:val="default"/>
    <w:sig w:usb0="E00002FF" w:usb1="6AC7FDFB" w:usb2="08000012" w:usb3="00000000" w:csb0="4002009F" w:csb1="DFD7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928224">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B81942">
    <w:pPr>
      <w:pStyle w:val="14"/>
    </w:pPr>
    <w:r>
      <mc:AlternateContent>
        <mc:Choice Requires="wps">
          <w:drawing>
            <wp:anchor distT="0" distB="0" distL="114300" distR="114300" simplePos="0" relativeHeight="251667456" behindDoc="0" locked="0" layoutInCell="1" allowOverlap="1">
              <wp:simplePos x="0" y="0"/>
              <wp:positionH relativeFrom="margin">
                <wp:posOffset>2403475</wp:posOffset>
              </wp:positionH>
              <wp:positionV relativeFrom="paragraph">
                <wp:posOffset>-276225</wp:posOffset>
              </wp:positionV>
              <wp:extent cx="1514475" cy="2105025"/>
              <wp:effectExtent l="0" t="0" r="0" b="0"/>
              <wp:wrapNone/>
              <wp:docPr id="10" name="文本框 1"/>
              <wp:cNvGraphicFramePr/>
              <a:graphic xmlns:a="http://schemas.openxmlformats.org/drawingml/2006/main">
                <a:graphicData uri="http://schemas.microsoft.com/office/word/2010/wordprocessingShape">
                  <wps:wsp>
                    <wps:cNvSpPr txBox="1"/>
                    <wps:spPr>
                      <a:xfrm>
                        <a:off x="0" y="0"/>
                        <a:ext cx="1514475" cy="2105025"/>
                      </a:xfrm>
                      <a:prstGeom prst="rect">
                        <a:avLst/>
                      </a:prstGeom>
                      <a:noFill/>
                      <a:ln>
                        <a:noFill/>
                      </a:ln>
                      <a:effectLst/>
                    </wps:spPr>
                    <wps:txbx>
                      <w:txbxContent>
                        <w:p w14:paraId="3CC1FE81">
                          <w:pPr>
                            <w:snapToGrid w:val="0"/>
                            <w:rPr>
                              <w:sz w:val="18"/>
                            </w:rPr>
                          </w:pPr>
                        </w:p>
                      </w:txbxContent>
                    </wps:txbx>
                    <wps:bodyPr upright="1"/>
                  </wps:wsp>
                </a:graphicData>
              </a:graphic>
            </wp:anchor>
          </w:drawing>
        </mc:Choice>
        <mc:Fallback>
          <w:pict>
            <v:shape id="文本框 1" o:spid="_x0000_s1026" o:spt="202" type="#_x0000_t202" style="position:absolute;left:0pt;margin-left:189.25pt;margin-top:-21.75pt;height:165.75pt;width:119.25pt;mso-position-horizontal-relative:margin;z-index:251667456;mso-width-relative:page;mso-height-relative:page;" filled="f" stroked="f" coordsize="21600,21600" o:gfxdata="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I49&#10;/6bYAAAACwEAAA8AAAAAAAAAAQAgAAAAIgAAAGRycy9kb3ducmV2LnhtbFBLAQIUABQAAAAIAIdO&#10;4kBN1W2/sQEAAF4DAAAOAAAAAAAAAAEAIAAAACcBAABkcnMvZTJvRG9jLnhtbFBLBQYAAAAABgAG&#10;AFkBAABKBQAAAAA=&#10;">
              <v:fill on="f" focussize="0,0"/>
              <v:stroke on="f"/>
              <v:imagedata o:title=""/>
              <o:lock v:ext="edit" aspectratio="f"/>
              <v:textbox>
                <w:txbxContent>
                  <w:p w14:paraId="3CC1FE81">
                    <w:pPr>
                      <w:snapToGrid w:val="0"/>
                      <w:rPr>
                        <w:sz w:val="18"/>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BAAD20">
    <w:pPr>
      <w:pStyle w:val="14"/>
      <w:rPr>
        <w:sz w:val="16"/>
        <w:szCs w:val="22"/>
      </w:rPr>
    </w:pPr>
    <w:r>
      <w:rPr>
        <w:sz w:val="16"/>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C32ADC">
                          <w:pPr>
                            <w:pStyle w:val="14"/>
                          </w:pPr>
                          <w:r>
                            <w:fldChar w:fldCharType="begin"/>
                          </w:r>
                          <w:r>
                            <w:instrText xml:space="preserve"> PAGE  \* MERGEFORMAT </w:instrText>
                          </w:r>
                          <w:r>
                            <w:fldChar w:fldCharType="separate"/>
                          </w:r>
                          <w:r>
                            <w:t>36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14:paraId="61C32ADC">
                    <w:pPr>
                      <w:pStyle w:val="14"/>
                    </w:pPr>
                    <w:r>
                      <w:fldChar w:fldCharType="begin"/>
                    </w:r>
                    <w:r>
                      <w:instrText xml:space="preserve"> PAGE  \* MERGEFORMAT </w:instrText>
                    </w:r>
                    <w:r>
                      <w:fldChar w:fldCharType="separate"/>
                    </w:r>
                    <w:r>
                      <w:t>36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AB280E">
    <w:pPr>
      <w:pStyle w:val="1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7179FD">
    <w:pPr>
      <w:pStyle w:val="1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40B7CB"/>
    <w:multiLevelType w:val="singleLevel"/>
    <w:tmpl w:val="B940B7CB"/>
    <w:lvl w:ilvl="0" w:tentative="0">
      <w:start w:val="3"/>
      <w:numFmt w:val="decimal"/>
      <w:suff w:val="nothing"/>
      <w:lvlText w:val="%1、"/>
      <w:lvlJc w:val="left"/>
    </w:lvl>
  </w:abstractNum>
  <w:abstractNum w:abstractNumId="1">
    <w:nsid w:val="074054F6"/>
    <w:multiLevelType w:val="multilevel"/>
    <w:tmpl w:val="074054F6"/>
    <w:lvl w:ilvl="0" w:tentative="0">
      <w:start w:val="1"/>
      <w:numFmt w:val="decimal"/>
      <w:pStyle w:val="43"/>
      <w:lvlText w:val="第%1章"/>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2">
    <w:nsid w:val="1A380784"/>
    <w:multiLevelType w:val="multilevel"/>
    <w:tmpl w:val="1A380784"/>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D491617"/>
    <w:multiLevelType w:val="multilevel"/>
    <w:tmpl w:val="1D491617"/>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4">
    <w:nsid w:val="6BBC29D3"/>
    <w:multiLevelType w:val="singleLevel"/>
    <w:tmpl w:val="6BBC29D3"/>
    <w:lvl w:ilvl="0" w:tentative="0">
      <w:start w:val="3"/>
      <w:numFmt w:val="chineseCounting"/>
      <w:suff w:val="space"/>
      <w:lvlText w:val="第%1章"/>
      <w:lvlJc w:val="left"/>
      <w:rPr>
        <w:rFonts w:hint="eastAsia"/>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2"/>
  <w:embedSystemFonts/>
  <w:bordersDoNotSurroundHeader w:val="1"/>
  <w:bordersDoNotSurroundFooter w:val="1"/>
  <w:documentProtection w:enforcement="0"/>
  <w:defaultTabStop w:val="420"/>
  <w:drawingGridHorizontalSpacing w:val="210"/>
  <w:drawingGridVerticalSpacing w:val="99999990"/>
  <w:displayHorizont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ljZDgyZjUxNTU5NzBkODViMzJkNjJhMTc5MmUxMTEifQ=="/>
  </w:docVars>
  <w:rsids>
    <w:rsidRoot w:val="00CF3BAF"/>
    <w:rsid w:val="000E2D26"/>
    <w:rsid w:val="00164C26"/>
    <w:rsid w:val="00264E69"/>
    <w:rsid w:val="00281BCC"/>
    <w:rsid w:val="0034193D"/>
    <w:rsid w:val="003641CF"/>
    <w:rsid w:val="00382698"/>
    <w:rsid w:val="003B0152"/>
    <w:rsid w:val="0066418C"/>
    <w:rsid w:val="00666E50"/>
    <w:rsid w:val="006B2CA3"/>
    <w:rsid w:val="006D7342"/>
    <w:rsid w:val="00723732"/>
    <w:rsid w:val="00732204"/>
    <w:rsid w:val="007944BD"/>
    <w:rsid w:val="007E7D25"/>
    <w:rsid w:val="00A3295D"/>
    <w:rsid w:val="00AB75B4"/>
    <w:rsid w:val="00C94A06"/>
    <w:rsid w:val="00C94AF7"/>
    <w:rsid w:val="00C94F3C"/>
    <w:rsid w:val="00CF3BAF"/>
    <w:rsid w:val="00D904BB"/>
    <w:rsid w:val="00E61A34"/>
    <w:rsid w:val="00FB3E02"/>
    <w:rsid w:val="015A0ED7"/>
    <w:rsid w:val="017A697D"/>
    <w:rsid w:val="0183453D"/>
    <w:rsid w:val="019C74BD"/>
    <w:rsid w:val="01A249C3"/>
    <w:rsid w:val="01CD0413"/>
    <w:rsid w:val="01E46D89"/>
    <w:rsid w:val="0224187C"/>
    <w:rsid w:val="023A16F5"/>
    <w:rsid w:val="024A233B"/>
    <w:rsid w:val="02534437"/>
    <w:rsid w:val="02A079AD"/>
    <w:rsid w:val="02AD7AC3"/>
    <w:rsid w:val="02B2279A"/>
    <w:rsid w:val="02C572FD"/>
    <w:rsid w:val="02D07C54"/>
    <w:rsid w:val="02D346FD"/>
    <w:rsid w:val="02E1151B"/>
    <w:rsid w:val="03237D85"/>
    <w:rsid w:val="033F393B"/>
    <w:rsid w:val="038D6339"/>
    <w:rsid w:val="03B629A7"/>
    <w:rsid w:val="03C230FA"/>
    <w:rsid w:val="03C3096B"/>
    <w:rsid w:val="03EC16DB"/>
    <w:rsid w:val="03ED5BC4"/>
    <w:rsid w:val="03EF01A2"/>
    <w:rsid w:val="04351B1E"/>
    <w:rsid w:val="04446205"/>
    <w:rsid w:val="044C6E68"/>
    <w:rsid w:val="04730C9A"/>
    <w:rsid w:val="047563BF"/>
    <w:rsid w:val="047C67F1"/>
    <w:rsid w:val="04806EAA"/>
    <w:rsid w:val="048B45A7"/>
    <w:rsid w:val="049A5F70"/>
    <w:rsid w:val="049D68A4"/>
    <w:rsid w:val="04C133B2"/>
    <w:rsid w:val="04DA0DFF"/>
    <w:rsid w:val="04E04210"/>
    <w:rsid w:val="04EC4D0A"/>
    <w:rsid w:val="04F14708"/>
    <w:rsid w:val="04F44273"/>
    <w:rsid w:val="05141A17"/>
    <w:rsid w:val="05476DA0"/>
    <w:rsid w:val="057D7DBB"/>
    <w:rsid w:val="0584083C"/>
    <w:rsid w:val="058663AA"/>
    <w:rsid w:val="0587053C"/>
    <w:rsid w:val="05CF063D"/>
    <w:rsid w:val="05F41565"/>
    <w:rsid w:val="061F1094"/>
    <w:rsid w:val="064662A5"/>
    <w:rsid w:val="064B3EA8"/>
    <w:rsid w:val="066E30C6"/>
    <w:rsid w:val="06760F6D"/>
    <w:rsid w:val="06774D6D"/>
    <w:rsid w:val="067F5595"/>
    <w:rsid w:val="069A3EBB"/>
    <w:rsid w:val="06AB256C"/>
    <w:rsid w:val="06D03D80"/>
    <w:rsid w:val="06D3561E"/>
    <w:rsid w:val="06F1337E"/>
    <w:rsid w:val="06FB674B"/>
    <w:rsid w:val="074D4119"/>
    <w:rsid w:val="079923C4"/>
    <w:rsid w:val="07997BA5"/>
    <w:rsid w:val="08043664"/>
    <w:rsid w:val="08355432"/>
    <w:rsid w:val="083A174E"/>
    <w:rsid w:val="083B347B"/>
    <w:rsid w:val="083D3697"/>
    <w:rsid w:val="08406CE4"/>
    <w:rsid w:val="0844594B"/>
    <w:rsid w:val="0885658D"/>
    <w:rsid w:val="08B6562F"/>
    <w:rsid w:val="091D0DD3"/>
    <w:rsid w:val="094B5940"/>
    <w:rsid w:val="09DE60EB"/>
    <w:rsid w:val="0A253323"/>
    <w:rsid w:val="0A2B3318"/>
    <w:rsid w:val="0A5B6057"/>
    <w:rsid w:val="0A645EB1"/>
    <w:rsid w:val="0A742C74"/>
    <w:rsid w:val="0AB1211B"/>
    <w:rsid w:val="0AF674AA"/>
    <w:rsid w:val="0AFE4F5A"/>
    <w:rsid w:val="0B057D70"/>
    <w:rsid w:val="0B072F0F"/>
    <w:rsid w:val="0B2D5070"/>
    <w:rsid w:val="0B664CB3"/>
    <w:rsid w:val="0B865355"/>
    <w:rsid w:val="0BA457DB"/>
    <w:rsid w:val="0BF605EA"/>
    <w:rsid w:val="0C051155"/>
    <w:rsid w:val="0C076843"/>
    <w:rsid w:val="0C1A1EAE"/>
    <w:rsid w:val="0C2D57D1"/>
    <w:rsid w:val="0C8F1FE8"/>
    <w:rsid w:val="0CBA5DD0"/>
    <w:rsid w:val="0CD05128"/>
    <w:rsid w:val="0CDA3277"/>
    <w:rsid w:val="0CEC11E8"/>
    <w:rsid w:val="0D270828"/>
    <w:rsid w:val="0D297A40"/>
    <w:rsid w:val="0D380844"/>
    <w:rsid w:val="0D3A1F53"/>
    <w:rsid w:val="0D3B653D"/>
    <w:rsid w:val="0D71793F"/>
    <w:rsid w:val="0D792EC2"/>
    <w:rsid w:val="0D81592D"/>
    <w:rsid w:val="0D8716C8"/>
    <w:rsid w:val="0DC71EAB"/>
    <w:rsid w:val="0DF26CD2"/>
    <w:rsid w:val="0E2F4C4F"/>
    <w:rsid w:val="0E372AA8"/>
    <w:rsid w:val="0E412ABE"/>
    <w:rsid w:val="0E651252"/>
    <w:rsid w:val="0E682982"/>
    <w:rsid w:val="0E8C0D4D"/>
    <w:rsid w:val="0EA33B28"/>
    <w:rsid w:val="0EDC105C"/>
    <w:rsid w:val="0EDE6CBA"/>
    <w:rsid w:val="0EF32EFA"/>
    <w:rsid w:val="0F0410E0"/>
    <w:rsid w:val="0F2464E9"/>
    <w:rsid w:val="0FDE2EA6"/>
    <w:rsid w:val="0FE73EE9"/>
    <w:rsid w:val="1012372A"/>
    <w:rsid w:val="101D658D"/>
    <w:rsid w:val="10305890"/>
    <w:rsid w:val="10544429"/>
    <w:rsid w:val="10776075"/>
    <w:rsid w:val="107A1722"/>
    <w:rsid w:val="10E36DA6"/>
    <w:rsid w:val="110F7AF4"/>
    <w:rsid w:val="115D157E"/>
    <w:rsid w:val="119A56B6"/>
    <w:rsid w:val="11A25357"/>
    <w:rsid w:val="11A77DD3"/>
    <w:rsid w:val="11B34CF4"/>
    <w:rsid w:val="11CD6280"/>
    <w:rsid w:val="11EC5893"/>
    <w:rsid w:val="11F2782C"/>
    <w:rsid w:val="12055F77"/>
    <w:rsid w:val="12253125"/>
    <w:rsid w:val="12253216"/>
    <w:rsid w:val="125F42F7"/>
    <w:rsid w:val="12A473AA"/>
    <w:rsid w:val="12AA67B8"/>
    <w:rsid w:val="12C81DAF"/>
    <w:rsid w:val="131B45D5"/>
    <w:rsid w:val="13732E71"/>
    <w:rsid w:val="13901621"/>
    <w:rsid w:val="13DA77A9"/>
    <w:rsid w:val="140B464A"/>
    <w:rsid w:val="14397409"/>
    <w:rsid w:val="143C687A"/>
    <w:rsid w:val="144162BD"/>
    <w:rsid w:val="144353ED"/>
    <w:rsid w:val="144D63F0"/>
    <w:rsid w:val="14542E3B"/>
    <w:rsid w:val="148443FC"/>
    <w:rsid w:val="14860849"/>
    <w:rsid w:val="14CD7B51"/>
    <w:rsid w:val="14E629C1"/>
    <w:rsid w:val="14F25809"/>
    <w:rsid w:val="15107A3E"/>
    <w:rsid w:val="15210B5F"/>
    <w:rsid w:val="152E231F"/>
    <w:rsid w:val="15426C00"/>
    <w:rsid w:val="15802E15"/>
    <w:rsid w:val="159A1461"/>
    <w:rsid w:val="15B40BDE"/>
    <w:rsid w:val="15DF5D8E"/>
    <w:rsid w:val="16077093"/>
    <w:rsid w:val="161C1F83"/>
    <w:rsid w:val="164D1414"/>
    <w:rsid w:val="165F3BC6"/>
    <w:rsid w:val="16663DB9"/>
    <w:rsid w:val="16997753"/>
    <w:rsid w:val="169D288C"/>
    <w:rsid w:val="16A018F6"/>
    <w:rsid w:val="16EB2510"/>
    <w:rsid w:val="1712066B"/>
    <w:rsid w:val="178070FD"/>
    <w:rsid w:val="179C380B"/>
    <w:rsid w:val="17AC6DF4"/>
    <w:rsid w:val="18247F4A"/>
    <w:rsid w:val="183D74A2"/>
    <w:rsid w:val="188327F5"/>
    <w:rsid w:val="18AE13FF"/>
    <w:rsid w:val="18C45473"/>
    <w:rsid w:val="18DF6EA4"/>
    <w:rsid w:val="18E732AE"/>
    <w:rsid w:val="191169DA"/>
    <w:rsid w:val="196A7BE4"/>
    <w:rsid w:val="19CD0334"/>
    <w:rsid w:val="19DE4DBB"/>
    <w:rsid w:val="19EF2318"/>
    <w:rsid w:val="19FF69FF"/>
    <w:rsid w:val="1A2B26E2"/>
    <w:rsid w:val="1A843CE5"/>
    <w:rsid w:val="1A913822"/>
    <w:rsid w:val="1A957E6A"/>
    <w:rsid w:val="1AFA71C6"/>
    <w:rsid w:val="1B041DF3"/>
    <w:rsid w:val="1B33310F"/>
    <w:rsid w:val="1B6D129C"/>
    <w:rsid w:val="1BD529D4"/>
    <w:rsid w:val="1BDE09F4"/>
    <w:rsid w:val="1BE9127A"/>
    <w:rsid w:val="1BEC2A23"/>
    <w:rsid w:val="1C211654"/>
    <w:rsid w:val="1C2D32A0"/>
    <w:rsid w:val="1C5D17BA"/>
    <w:rsid w:val="1C6C7C4F"/>
    <w:rsid w:val="1C753023"/>
    <w:rsid w:val="1C9363D1"/>
    <w:rsid w:val="1C9D24FF"/>
    <w:rsid w:val="1CBF06C7"/>
    <w:rsid w:val="1CCE090A"/>
    <w:rsid w:val="1CD57C9C"/>
    <w:rsid w:val="1CEB326A"/>
    <w:rsid w:val="1D1E6C5C"/>
    <w:rsid w:val="1D2360F1"/>
    <w:rsid w:val="1D5829E8"/>
    <w:rsid w:val="1D5A65E9"/>
    <w:rsid w:val="1D6923E1"/>
    <w:rsid w:val="1D7017A8"/>
    <w:rsid w:val="1D887F78"/>
    <w:rsid w:val="1D9C0C95"/>
    <w:rsid w:val="1DA90CED"/>
    <w:rsid w:val="1DC13FCB"/>
    <w:rsid w:val="1DD43CFE"/>
    <w:rsid w:val="1DD65CC8"/>
    <w:rsid w:val="1DDA0B91"/>
    <w:rsid w:val="1DDE7C10"/>
    <w:rsid w:val="1E212A6F"/>
    <w:rsid w:val="1E331F19"/>
    <w:rsid w:val="1E360353"/>
    <w:rsid w:val="1E396257"/>
    <w:rsid w:val="1E3F22B3"/>
    <w:rsid w:val="1E471A6E"/>
    <w:rsid w:val="1E4779B9"/>
    <w:rsid w:val="1EB33136"/>
    <w:rsid w:val="1EB63404"/>
    <w:rsid w:val="1EBB6248"/>
    <w:rsid w:val="1ED15FAD"/>
    <w:rsid w:val="1ED67807"/>
    <w:rsid w:val="1EE937D9"/>
    <w:rsid w:val="1F111512"/>
    <w:rsid w:val="1F8D2032"/>
    <w:rsid w:val="1FAA11BB"/>
    <w:rsid w:val="1FCF0C21"/>
    <w:rsid w:val="20407429"/>
    <w:rsid w:val="20BF0C96"/>
    <w:rsid w:val="20E259AF"/>
    <w:rsid w:val="219C4D8C"/>
    <w:rsid w:val="21BC5882"/>
    <w:rsid w:val="21BF16DB"/>
    <w:rsid w:val="21F93E3A"/>
    <w:rsid w:val="22074AD9"/>
    <w:rsid w:val="22417174"/>
    <w:rsid w:val="228357B3"/>
    <w:rsid w:val="22851F14"/>
    <w:rsid w:val="22937A29"/>
    <w:rsid w:val="229D04C5"/>
    <w:rsid w:val="22AC524A"/>
    <w:rsid w:val="22D97B1D"/>
    <w:rsid w:val="23024E6A"/>
    <w:rsid w:val="232F4218"/>
    <w:rsid w:val="237E05CC"/>
    <w:rsid w:val="23841D23"/>
    <w:rsid w:val="23A75A11"/>
    <w:rsid w:val="23AC4AA2"/>
    <w:rsid w:val="23C21A0E"/>
    <w:rsid w:val="23F517CD"/>
    <w:rsid w:val="24117A01"/>
    <w:rsid w:val="242B219E"/>
    <w:rsid w:val="244B62E0"/>
    <w:rsid w:val="24572F93"/>
    <w:rsid w:val="24581EC9"/>
    <w:rsid w:val="245D7AC3"/>
    <w:rsid w:val="24612217"/>
    <w:rsid w:val="24973CD7"/>
    <w:rsid w:val="24CA7C09"/>
    <w:rsid w:val="250D077C"/>
    <w:rsid w:val="25290233"/>
    <w:rsid w:val="2584425C"/>
    <w:rsid w:val="25A66FB8"/>
    <w:rsid w:val="25B93555"/>
    <w:rsid w:val="25C66622"/>
    <w:rsid w:val="25F12CF3"/>
    <w:rsid w:val="261A696E"/>
    <w:rsid w:val="26211AAB"/>
    <w:rsid w:val="263374CD"/>
    <w:rsid w:val="26393AC2"/>
    <w:rsid w:val="2647756E"/>
    <w:rsid w:val="266B4401"/>
    <w:rsid w:val="2671382C"/>
    <w:rsid w:val="268B7746"/>
    <w:rsid w:val="26AF355A"/>
    <w:rsid w:val="26CA3EF0"/>
    <w:rsid w:val="27032260"/>
    <w:rsid w:val="27070CA1"/>
    <w:rsid w:val="27C052F3"/>
    <w:rsid w:val="27C20290"/>
    <w:rsid w:val="27CE4396"/>
    <w:rsid w:val="28134D39"/>
    <w:rsid w:val="28377363"/>
    <w:rsid w:val="28497097"/>
    <w:rsid w:val="287019A1"/>
    <w:rsid w:val="288D3224"/>
    <w:rsid w:val="28BA7F95"/>
    <w:rsid w:val="28BD1C36"/>
    <w:rsid w:val="2942161F"/>
    <w:rsid w:val="29583D25"/>
    <w:rsid w:val="2959155B"/>
    <w:rsid w:val="298A77D8"/>
    <w:rsid w:val="29A97E89"/>
    <w:rsid w:val="29AD1F3E"/>
    <w:rsid w:val="29BF788B"/>
    <w:rsid w:val="29CC7F7F"/>
    <w:rsid w:val="29FA65CF"/>
    <w:rsid w:val="2A1118F0"/>
    <w:rsid w:val="2A334727"/>
    <w:rsid w:val="2A571F3F"/>
    <w:rsid w:val="2A573CED"/>
    <w:rsid w:val="2A877B3A"/>
    <w:rsid w:val="2A981D32"/>
    <w:rsid w:val="2ADA2567"/>
    <w:rsid w:val="2AE8528D"/>
    <w:rsid w:val="2B9A5BB7"/>
    <w:rsid w:val="2BFE5946"/>
    <w:rsid w:val="2C5243EF"/>
    <w:rsid w:val="2C9E3204"/>
    <w:rsid w:val="2CBD60AC"/>
    <w:rsid w:val="2CD06C13"/>
    <w:rsid w:val="2CD71115"/>
    <w:rsid w:val="2CE61600"/>
    <w:rsid w:val="2CFF066C"/>
    <w:rsid w:val="2D217C65"/>
    <w:rsid w:val="2D4759F0"/>
    <w:rsid w:val="2D4B17C9"/>
    <w:rsid w:val="2D5C5A09"/>
    <w:rsid w:val="2D8F379E"/>
    <w:rsid w:val="2DBA2F11"/>
    <w:rsid w:val="2DDA23E8"/>
    <w:rsid w:val="2DF65BB0"/>
    <w:rsid w:val="2DFB7085"/>
    <w:rsid w:val="2E0221C2"/>
    <w:rsid w:val="2E1203F8"/>
    <w:rsid w:val="2E36070D"/>
    <w:rsid w:val="2E7164C1"/>
    <w:rsid w:val="2E9A064C"/>
    <w:rsid w:val="2ED80964"/>
    <w:rsid w:val="2EEC4152"/>
    <w:rsid w:val="2F4358AA"/>
    <w:rsid w:val="2F8D1F5F"/>
    <w:rsid w:val="2FA713A3"/>
    <w:rsid w:val="2FDC5ED2"/>
    <w:rsid w:val="2FDD5FA0"/>
    <w:rsid w:val="2FF8474F"/>
    <w:rsid w:val="30204B81"/>
    <w:rsid w:val="3038011D"/>
    <w:rsid w:val="3054090C"/>
    <w:rsid w:val="30766F52"/>
    <w:rsid w:val="30B362CA"/>
    <w:rsid w:val="30BF25EC"/>
    <w:rsid w:val="315301E3"/>
    <w:rsid w:val="315E08FB"/>
    <w:rsid w:val="3163566D"/>
    <w:rsid w:val="316B691F"/>
    <w:rsid w:val="3196654A"/>
    <w:rsid w:val="31AC19A4"/>
    <w:rsid w:val="31B301DE"/>
    <w:rsid w:val="31B97E17"/>
    <w:rsid w:val="31FF7E7F"/>
    <w:rsid w:val="321C650B"/>
    <w:rsid w:val="32323203"/>
    <w:rsid w:val="32384404"/>
    <w:rsid w:val="323B2146"/>
    <w:rsid w:val="32466B0F"/>
    <w:rsid w:val="325356E2"/>
    <w:rsid w:val="327D1486"/>
    <w:rsid w:val="3281581E"/>
    <w:rsid w:val="32891103"/>
    <w:rsid w:val="32931F82"/>
    <w:rsid w:val="32AC094E"/>
    <w:rsid w:val="32DD09B1"/>
    <w:rsid w:val="32EE0F67"/>
    <w:rsid w:val="331704BD"/>
    <w:rsid w:val="337F7BF3"/>
    <w:rsid w:val="33951DBC"/>
    <w:rsid w:val="3398566D"/>
    <w:rsid w:val="33A06705"/>
    <w:rsid w:val="33B84EB1"/>
    <w:rsid w:val="33CB74FA"/>
    <w:rsid w:val="33E8058A"/>
    <w:rsid w:val="33F95E15"/>
    <w:rsid w:val="34123199"/>
    <w:rsid w:val="34242DD3"/>
    <w:rsid w:val="34375174"/>
    <w:rsid w:val="343D702F"/>
    <w:rsid w:val="34931DC5"/>
    <w:rsid w:val="34A57D4B"/>
    <w:rsid w:val="34BF0E0C"/>
    <w:rsid w:val="3511004D"/>
    <w:rsid w:val="353E10FB"/>
    <w:rsid w:val="356103C1"/>
    <w:rsid w:val="35613C72"/>
    <w:rsid w:val="35624307"/>
    <w:rsid w:val="35A324DC"/>
    <w:rsid w:val="35EF40B4"/>
    <w:rsid w:val="36533F02"/>
    <w:rsid w:val="3679469E"/>
    <w:rsid w:val="367C137F"/>
    <w:rsid w:val="36990437"/>
    <w:rsid w:val="36F2243E"/>
    <w:rsid w:val="36F54FB9"/>
    <w:rsid w:val="371511B8"/>
    <w:rsid w:val="37316346"/>
    <w:rsid w:val="37552874"/>
    <w:rsid w:val="37696BED"/>
    <w:rsid w:val="376D0FF4"/>
    <w:rsid w:val="37740FCE"/>
    <w:rsid w:val="37825A15"/>
    <w:rsid w:val="37B07132"/>
    <w:rsid w:val="37BB5BE3"/>
    <w:rsid w:val="3812008E"/>
    <w:rsid w:val="382C0303"/>
    <w:rsid w:val="38365225"/>
    <w:rsid w:val="385E298D"/>
    <w:rsid w:val="389820A0"/>
    <w:rsid w:val="389B4E02"/>
    <w:rsid w:val="38C56745"/>
    <w:rsid w:val="38ED5B17"/>
    <w:rsid w:val="391F5908"/>
    <w:rsid w:val="396E4BAF"/>
    <w:rsid w:val="398D57FD"/>
    <w:rsid w:val="39B0341A"/>
    <w:rsid w:val="39E0294D"/>
    <w:rsid w:val="39F31703"/>
    <w:rsid w:val="39F5707E"/>
    <w:rsid w:val="3A7F08F8"/>
    <w:rsid w:val="3ABD3090"/>
    <w:rsid w:val="3AC405E4"/>
    <w:rsid w:val="3AEC222F"/>
    <w:rsid w:val="3AF31810"/>
    <w:rsid w:val="3B334A39"/>
    <w:rsid w:val="3B3B31B7"/>
    <w:rsid w:val="3B4007CD"/>
    <w:rsid w:val="3B451940"/>
    <w:rsid w:val="3B680882"/>
    <w:rsid w:val="3B7B35B3"/>
    <w:rsid w:val="3B944428"/>
    <w:rsid w:val="3BF03FA1"/>
    <w:rsid w:val="3BF84C04"/>
    <w:rsid w:val="3C3E4D0D"/>
    <w:rsid w:val="3C5740DD"/>
    <w:rsid w:val="3C806CA2"/>
    <w:rsid w:val="3C875BD5"/>
    <w:rsid w:val="3CF25AF7"/>
    <w:rsid w:val="3D1141CF"/>
    <w:rsid w:val="3D141F11"/>
    <w:rsid w:val="3D3E5D33"/>
    <w:rsid w:val="3D3F6549"/>
    <w:rsid w:val="3D544A5A"/>
    <w:rsid w:val="3D6E3B32"/>
    <w:rsid w:val="3D714C6E"/>
    <w:rsid w:val="3D773197"/>
    <w:rsid w:val="3D7F55DD"/>
    <w:rsid w:val="3DA476DF"/>
    <w:rsid w:val="3DA56AFF"/>
    <w:rsid w:val="3DBA2447"/>
    <w:rsid w:val="3DBE00AF"/>
    <w:rsid w:val="3DC4168B"/>
    <w:rsid w:val="3DE40C52"/>
    <w:rsid w:val="3E0E070F"/>
    <w:rsid w:val="3E3D23ED"/>
    <w:rsid w:val="3E3D2DA2"/>
    <w:rsid w:val="3E43485C"/>
    <w:rsid w:val="3E590BEC"/>
    <w:rsid w:val="3E592E85"/>
    <w:rsid w:val="3E691AD9"/>
    <w:rsid w:val="3E8D7BD1"/>
    <w:rsid w:val="3E8E1D06"/>
    <w:rsid w:val="3E957D58"/>
    <w:rsid w:val="3EFD0EAF"/>
    <w:rsid w:val="3F3A7C74"/>
    <w:rsid w:val="3F51170A"/>
    <w:rsid w:val="3F5605BF"/>
    <w:rsid w:val="3F6727CC"/>
    <w:rsid w:val="3FD074F4"/>
    <w:rsid w:val="3FD66319"/>
    <w:rsid w:val="40464190"/>
    <w:rsid w:val="40572841"/>
    <w:rsid w:val="407C1AED"/>
    <w:rsid w:val="40920F06"/>
    <w:rsid w:val="40AE6405"/>
    <w:rsid w:val="40E2372C"/>
    <w:rsid w:val="41036525"/>
    <w:rsid w:val="411042AB"/>
    <w:rsid w:val="41432623"/>
    <w:rsid w:val="417B430D"/>
    <w:rsid w:val="419D1E08"/>
    <w:rsid w:val="41A82C28"/>
    <w:rsid w:val="420C4EF5"/>
    <w:rsid w:val="42181E5B"/>
    <w:rsid w:val="425E4C07"/>
    <w:rsid w:val="429A07C3"/>
    <w:rsid w:val="42B75819"/>
    <w:rsid w:val="42D53B65"/>
    <w:rsid w:val="42DC0DDB"/>
    <w:rsid w:val="42E02E33"/>
    <w:rsid w:val="42F03646"/>
    <w:rsid w:val="42F460AF"/>
    <w:rsid w:val="42F65BA4"/>
    <w:rsid w:val="43000F6E"/>
    <w:rsid w:val="43764BFE"/>
    <w:rsid w:val="43CF26EE"/>
    <w:rsid w:val="43E20C41"/>
    <w:rsid w:val="43F97022"/>
    <w:rsid w:val="44035AC2"/>
    <w:rsid w:val="440A24EA"/>
    <w:rsid w:val="44114AB5"/>
    <w:rsid w:val="44513A21"/>
    <w:rsid w:val="4453447A"/>
    <w:rsid w:val="44625310"/>
    <w:rsid w:val="44C10289"/>
    <w:rsid w:val="44E855CD"/>
    <w:rsid w:val="44F71DF7"/>
    <w:rsid w:val="45115536"/>
    <w:rsid w:val="45156827"/>
    <w:rsid w:val="451E56DB"/>
    <w:rsid w:val="45305047"/>
    <w:rsid w:val="45847714"/>
    <w:rsid w:val="459B770E"/>
    <w:rsid w:val="45D313A6"/>
    <w:rsid w:val="45D94A67"/>
    <w:rsid w:val="45E375FE"/>
    <w:rsid w:val="46560EA5"/>
    <w:rsid w:val="46715CDF"/>
    <w:rsid w:val="46C17760"/>
    <w:rsid w:val="46C410DC"/>
    <w:rsid w:val="471C20EE"/>
    <w:rsid w:val="472509CB"/>
    <w:rsid w:val="474A6C5C"/>
    <w:rsid w:val="47673460"/>
    <w:rsid w:val="477A6E15"/>
    <w:rsid w:val="478A2A55"/>
    <w:rsid w:val="47986858"/>
    <w:rsid w:val="47DA19E3"/>
    <w:rsid w:val="47E51211"/>
    <w:rsid w:val="47EB734B"/>
    <w:rsid w:val="47FE17F4"/>
    <w:rsid w:val="484F02A2"/>
    <w:rsid w:val="48587156"/>
    <w:rsid w:val="486C7808"/>
    <w:rsid w:val="486E372E"/>
    <w:rsid w:val="4876582E"/>
    <w:rsid w:val="48934AEB"/>
    <w:rsid w:val="48A6207B"/>
    <w:rsid w:val="492B03C7"/>
    <w:rsid w:val="492E33C0"/>
    <w:rsid w:val="495261A3"/>
    <w:rsid w:val="495F62C2"/>
    <w:rsid w:val="497E6723"/>
    <w:rsid w:val="499A379E"/>
    <w:rsid w:val="49A33F6E"/>
    <w:rsid w:val="49AF724A"/>
    <w:rsid w:val="49BE56DF"/>
    <w:rsid w:val="49D427E4"/>
    <w:rsid w:val="49EF4693"/>
    <w:rsid w:val="4A0550BC"/>
    <w:rsid w:val="4A6022F2"/>
    <w:rsid w:val="4A877397"/>
    <w:rsid w:val="4AB746EB"/>
    <w:rsid w:val="4ADD1B95"/>
    <w:rsid w:val="4AF33166"/>
    <w:rsid w:val="4B1425FF"/>
    <w:rsid w:val="4B3B68BB"/>
    <w:rsid w:val="4B9D78A2"/>
    <w:rsid w:val="4BB70638"/>
    <w:rsid w:val="4C1823DA"/>
    <w:rsid w:val="4C3677AE"/>
    <w:rsid w:val="4C4814B5"/>
    <w:rsid w:val="4C5B0FC3"/>
    <w:rsid w:val="4C7327B1"/>
    <w:rsid w:val="4C821008"/>
    <w:rsid w:val="4CB32302"/>
    <w:rsid w:val="4CC00F87"/>
    <w:rsid w:val="4CD16F98"/>
    <w:rsid w:val="4CD846C7"/>
    <w:rsid w:val="4CF904BE"/>
    <w:rsid w:val="4D1C7DC0"/>
    <w:rsid w:val="4D3C68BD"/>
    <w:rsid w:val="4D3D7CDA"/>
    <w:rsid w:val="4D88228C"/>
    <w:rsid w:val="4D8C494F"/>
    <w:rsid w:val="4DEE5DF2"/>
    <w:rsid w:val="4E4C44BA"/>
    <w:rsid w:val="4E7C3AE4"/>
    <w:rsid w:val="4F2A2BCF"/>
    <w:rsid w:val="4F5A55B8"/>
    <w:rsid w:val="4FA766A8"/>
    <w:rsid w:val="4FB629B4"/>
    <w:rsid w:val="4FB96B4A"/>
    <w:rsid w:val="4FDA48F5"/>
    <w:rsid w:val="4FE5073B"/>
    <w:rsid w:val="504F0E3F"/>
    <w:rsid w:val="507765E7"/>
    <w:rsid w:val="50A373DC"/>
    <w:rsid w:val="50F97A16"/>
    <w:rsid w:val="51171D45"/>
    <w:rsid w:val="51404F43"/>
    <w:rsid w:val="51856AE2"/>
    <w:rsid w:val="51870AAC"/>
    <w:rsid w:val="519805C3"/>
    <w:rsid w:val="519C21AA"/>
    <w:rsid w:val="51A229BD"/>
    <w:rsid w:val="51B11685"/>
    <w:rsid w:val="51B97BFA"/>
    <w:rsid w:val="51F82BBB"/>
    <w:rsid w:val="522B7DE8"/>
    <w:rsid w:val="522D3402"/>
    <w:rsid w:val="52C2650E"/>
    <w:rsid w:val="52CC2C1B"/>
    <w:rsid w:val="52DC6BD6"/>
    <w:rsid w:val="52EB6588"/>
    <w:rsid w:val="52F42899"/>
    <w:rsid w:val="52FE4D9E"/>
    <w:rsid w:val="53157C48"/>
    <w:rsid w:val="538E28DC"/>
    <w:rsid w:val="53C41B44"/>
    <w:rsid w:val="542076D2"/>
    <w:rsid w:val="542D2B1D"/>
    <w:rsid w:val="54765F55"/>
    <w:rsid w:val="54A92AFF"/>
    <w:rsid w:val="54C45680"/>
    <w:rsid w:val="54D01B17"/>
    <w:rsid w:val="54D77655"/>
    <w:rsid w:val="550146D2"/>
    <w:rsid w:val="551C7980"/>
    <w:rsid w:val="55311C75"/>
    <w:rsid w:val="5549056E"/>
    <w:rsid w:val="55546EF7"/>
    <w:rsid w:val="55825812"/>
    <w:rsid w:val="55855303"/>
    <w:rsid w:val="55C07B2F"/>
    <w:rsid w:val="55C81AB9"/>
    <w:rsid w:val="564B20A8"/>
    <w:rsid w:val="5664557C"/>
    <w:rsid w:val="56BB3C75"/>
    <w:rsid w:val="56DE7067"/>
    <w:rsid w:val="570955B4"/>
    <w:rsid w:val="5725657E"/>
    <w:rsid w:val="57425FEC"/>
    <w:rsid w:val="57527C3E"/>
    <w:rsid w:val="57673F16"/>
    <w:rsid w:val="57770C7B"/>
    <w:rsid w:val="5783793E"/>
    <w:rsid w:val="57886463"/>
    <w:rsid w:val="57BC3D6B"/>
    <w:rsid w:val="57CC2BA0"/>
    <w:rsid w:val="580A1AEF"/>
    <w:rsid w:val="58133074"/>
    <w:rsid w:val="587F6039"/>
    <w:rsid w:val="58952A96"/>
    <w:rsid w:val="58DC7930"/>
    <w:rsid w:val="58DF3A45"/>
    <w:rsid w:val="58EB36CF"/>
    <w:rsid w:val="590D7AE9"/>
    <w:rsid w:val="594013EC"/>
    <w:rsid w:val="595B71BC"/>
    <w:rsid w:val="598D26AC"/>
    <w:rsid w:val="59945819"/>
    <w:rsid w:val="599F77C9"/>
    <w:rsid w:val="59C95F43"/>
    <w:rsid w:val="59EC0FD0"/>
    <w:rsid w:val="5A2D23D5"/>
    <w:rsid w:val="5A370004"/>
    <w:rsid w:val="5A93268F"/>
    <w:rsid w:val="5AA93841"/>
    <w:rsid w:val="5AB2046A"/>
    <w:rsid w:val="5AC43179"/>
    <w:rsid w:val="5AC82B93"/>
    <w:rsid w:val="5AE14D89"/>
    <w:rsid w:val="5AE6318E"/>
    <w:rsid w:val="5B1F58B2"/>
    <w:rsid w:val="5B6F6839"/>
    <w:rsid w:val="5BB3212F"/>
    <w:rsid w:val="5C533A65"/>
    <w:rsid w:val="5C7027FB"/>
    <w:rsid w:val="5C7A1030"/>
    <w:rsid w:val="5C856C16"/>
    <w:rsid w:val="5C8E651C"/>
    <w:rsid w:val="5C9347A9"/>
    <w:rsid w:val="5CD46F4D"/>
    <w:rsid w:val="5CD85C43"/>
    <w:rsid w:val="5D072AA1"/>
    <w:rsid w:val="5D120EE1"/>
    <w:rsid w:val="5D172CE4"/>
    <w:rsid w:val="5D7C6FEB"/>
    <w:rsid w:val="5DB443B5"/>
    <w:rsid w:val="5DC012A8"/>
    <w:rsid w:val="5DCA7D57"/>
    <w:rsid w:val="5DDC5CDC"/>
    <w:rsid w:val="5DFC1EDA"/>
    <w:rsid w:val="5E313880"/>
    <w:rsid w:val="5E4A37D5"/>
    <w:rsid w:val="5E803BCC"/>
    <w:rsid w:val="5E8A187A"/>
    <w:rsid w:val="5EAE4FD3"/>
    <w:rsid w:val="5EB50A07"/>
    <w:rsid w:val="5F032E65"/>
    <w:rsid w:val="5F09244A"/>
    <w:rsid w:val="5F0E4D9B"/>
    <w:rsid w:val="5F3B04A6"/>
    <w:rsid w:val="5F4678B1"/>
    <w:rsid w:val="5F9177D9"/>
    <w:rsid w:val="5FBA426A"/>
    <w:rsid w:val="600D4872"/>
    <w:rsid w:val="60192D83"/>
    <w:rsid w:val="602A334A"/>
    <w:rsid w:val="6036225F"/>
    <w:rsid w:val="60831CFD"/>
    <w:rsid w:val="6085145A"/>
    <w:rsid w:val="60A41C39"/>
    <w:rsid w:val="60B25AEA"/>
    <w:rsid w:val="60D85EE9"/>
    <w:rsid w:val="60DF4E94"/>
    <w:rsid w:val="615C36F1"/>
    <w:rsid w:val="615C6151"/>
    <w:rsid w:val="6166423A"/>
    <w:rsid w:val="61935EEC"/>
    <w:rsid w:val="61B72CE8"/>
    <w:rsid w:val="61BD2A1D"/>
    <w:rsid w:val="61C40F61"/>
    <w:rsid w:val="61C62F2B"/>
    <w:rsid w:val="61DC274E"/>
    <w:rsid w:val="62047871"/>
    <w:rsid w:val="622B0FE0"/>
    <w:rsid w:val="622B3906"/>
    <w:rsid w:val="62494283"/>
    <w:rsid w:val="62967EC8"/>
    <w:rsid w:val="62976675"/>
    <w:rsid w:val="62E3619B"/>
    <w:rsid w:val="62ED4EF7"/>
    <w:rsid w:val="62EF46F3"/>
    <w:rsid w:val="634C24E2"/>
    <w:rsid w:val="634C7342"/>
    <w:rsid w:val="637D586B"/>
    <w:rsid w:val="63861052"/>
    <w:rsid w:val="63906A7A"/>
    <w:rsid w:val="63A03DA6"/>
    <w:rsid w:val="63F20007"/>
    <w:rsid w:val="641D44A1"/>
    <w:rsid w:val="64805BFE"/>
    <w:rsid w:val="64CA3CB4"/>
    <w:rsid w:val="64EC0669"/>
    <w:rsid w:val="65044496"/>
    <w:rsid w:val="65162C86"/>
    <w:rsid w:val="65221B38"/>
    <w:rsid w:val="6559487C"/>
    <w:rsid w:val="65693C54"/>
    <w:rsid w:val="65711400"/>
    <w:rsid w:val="65821595"/>
    <w:rsid w:val="659A62FC"/>
    <w:rsid w:val="65A13CC9"/>
    <w:rsid w:val="65C679EB"/>
    <w:rsid w:val="65D200F0"/>
    <w:rsid w:val="65EF7DA6"/>
    <w:rsid w:val="663C2EEE"/>
    <w:rsid w:val="666A49D1"/>
    <w:rsid w:val="667016B7"/>
    <w:rsid w:val="66870296"/>
    <w:rsid w:val="66BA6E26"/>
    <w:rsid w:val="66F10A4A"/>
    <w:rsid w:val="672F4C93"/>
    <w:rsid w:val="67477DD7"/>
    <w:rsid w:val="676F196F"/>
    <w:rsid w:val="67923FAF"/>
    <w:rsid w:val="67A856DC"/>
    <w:rsid w:val="67AB689B"/>
    <w:rsid w:val="67D30150"/>
    <w:rsid w:val="682E6AFE"/>
    <w:rsid w:val="6841155D"/>
    <w:rsid w:val="686D2352"/>
    <w:rsid w:val="68827BC9"/>
    <w:rsid w:val="689C49E5"/>
    <w:rsid w:val="689D7DF8"/>
    <w:rsid w:val="68AC75FB"/>
    <w:rsid w:val="68AF4719"/>
    <w:rsid w:val="68B476C6"/>
    <w:rsid w:val="695B6585"/>
    <w:rsid w:val="696279DD"/>
    <w:rsid w:val="69676C0C"/>
    <w:rsid w:val="698D10CC"/>
    <w:rsid w:val="69AE1092"/>
    <w:rsid w:val="69B30239"/>
    <w:rsid w:val="69C959DF"/>
    <w:rsid w:val="6A130CD7"/>
    <w:rsid w:val="6A1C3F03"/>
    <w:rsid w:val="6A38073E"/>
    <w:rsid w:val="6A753B41"/>
    <w:rsid w:val="6A890F99"/>
    <w:rsid w:val="6A8F4802"/>
    <w:rsid w:val="6A967468"/>
    <w:rsid w:val="6AA06A0F"/>
    <w:rsid w:val="6AC00E8A"/>
    <w:rsid w:val="6ACA583A"/>
    <w:rsid w:val="6B1C1C99"/>
    <w:rsid w:val="6B23319C"/>
    <w:rsid w:val="6BC664F4"/>
    <w:rsid w:val="6BD36CF4"/>
    <w:rsid w:val="6C021003"/>
    <w:rsid w:val="6C306864"/>
    <w:rsid w:val="6C9F6C69"/>
    <w:rsid w:val="6CA91D0E"/>
    <w:rsid w:val="6CDE2D6D"/>
    <w:rsid w:val="6CFA617E"/>
    <w:rsid w:val="6CFF5543"/>
    <w:rsid w:val="6D0A63C2"/>
    <w:rsid w:val="6D2917A9"/>
    <w:rsid w:val="6D3E42BD"/>
    <w:rsid w:val="6D4E6E2B"/>
    <w:rsid w:val="6D514B1A"/>
    <w:rsid w:val="6D675648"/>
    <w:rsid w:val="6D806915"/>
    <w:rsid w:val="6D9C2E25"/>
    <w:rsid w:val="6DC527AC"/>
    <w:rsid w:val="6DD975D0"/>
    <w:rsid w:val="6DDE05B9"/>
    <w:rsid w:val="6DF826BE"/>
    <w:rsid w:val="6E14529D"/>
    <w:rsid w:val="6E2056EF"/>
    <w:rsid w:val="6E6C0E13"/>
    <w:rsid w:val="6E8615C7"/>
    <w:rsid w:val="6EA4707E"/>
    <w:rsid w:val="6EDD1581"/>
    <w:rsid w:val="6EE37D9F"/>
    <w:rsid w:val="6F154B2D"/>
    <w:rsid w:val="6F2F643B"/>
    <w:rsid w:val="6F3036D4"/>
    <w:rsid w:val="6F33431F"/>
    <w:rsid w:val="6F4B6090"/>
    <w:rsid w:val="6F712CE6"/>
    <w:rsid w:val="6F875D92"/>
    <w:rsid w:val="6F9E0BC2"/>
    <w:rsid w:val="6FD42CB7"/>
    <w:rsid w:val="6FD44445"/>
    <w:rsid w:val="6FE0340A"/>
    <w:rsid w:val="70227EC6"/>
    <w:rsid w:val="702A6D7B"/>
    <w:rsid w:val="70375C5A"/>
    <w:rsid w:val="703F60A8"/>
    <w:rsid w:val="704F0094"/>
    <w:rsid w:val="705D2071"/>
    <w:rsid w:val="70763D6E"/>
    <w:rsid w:val="70822713"/>
    <w:rsid w:val="70A66401"/>
    <w:rsid w:val="70B46F74"/>
    <w:rsid w:val="70C64CF5"/>
    <w:rsid w:val="70D97412"/>
    <w:rsid w:val="70EB02B8"/>
    <w:rsid w:val="71005C9C"/>
    <w:rsid w:val="71032634"/>
    <w:rsid w:val="71125845"/>
    <w:rsid w:val="71333A0D"/>
    <w:rsid w:val="71386D0D"/>
    <w:rsid w:val="714125CE"/>
    <w:rsid w:val="714B092C"/>
    <w:rsid w:val="71943AB8"/>
    <w:rsid w:val="71D30481"/>
    <w:rsid w:val="71E7047C"/>
    <w:rsid w:val="720A0C12"/>
    <w:rsid w:val="721E646B"/>
    <w:rsid w:val="72343EE1"/>
    <w:rsid w:val="72395053"/>
    <w:rsid w:val="72875C50"/>
    <w:rsid w:val="72C316B4"/>
    <w:rsid w:val="72D03219"/>
    <w:rsid w:val="72D134DE"/>
    <w:rsid w:val="72D9617A"/>
    <w:rsid w:val="72FD1EE3"/>
    <w:rsid w:val="7316264A"/>
    <w:rsid w:val="731A5E0F"/>
    <w:rsid w:val="73465C7A"/>
    <w:rsid w:val="73900C02"/>
    <w:rsid w:val="73903399"/>
    <w:rsid w:val="73AA445A"/>
    <w:rsid w:val="73BE334D"/>
    <w:rsid w:val="73D94CFF"/>
    <w:rsid w:val="73DA4614"/>
    <w:rsid w:val="74130252"/>
    <w:rsid w:val="742E2236"/>
    <w:rsid w:val="74533F57"/>
    <w:rsid w:val="746C5BB4"/>
    <w:rsid w:val="74B43A06"/>
    <w:rsid w:val="74E538AA"/>
    <w:rsid w:val="74F00593"/>
    <w:rsid w:val="751A116C"/>
    <w:rsid w:val="75360D61"/>
    <w:rsid w:val="75682033"/>
    <w:rsid w:val="756D3991"/>
    <w:rsid w:val="75763A2E"/>
    <w:rsid w:val="757E5B9F"/>
    <w:rsid w:val="75AB44BA"/>
    <w:rsid w:val="75CC203F"/>
    <w:rsid w:val="75E11C8A"/>
    <w:rsid w:val="75F6021B"/>
    <w:rsid w:val="76345A14"/>
    <w:rsid w:val="767E397C"/>
    <w:rsid w:val="76A52F33"/>
    <w:rsid w:val="76AD3EE0"/>
    <w:rsid w:val="76E00193"/>
    <w:rsid w:val="76E6506A"/>
    <w:rsid w:val="770D2568"/>
    <w:rsid w:val="77185B7F"/>
    <w:rsid w:val="77463913"/>
    <w:rsid w:val="774A385E"/>
    <w:rsid w:val="77815EF6"/>
    <w:rsid w:val="77B3710F"/>
    <w:rsid w:val="77BE04D4"/>
    <w:rsid w:val="77EE0719"/>
    <w:rsid w:val="7863107C"/>
    <w:rsid w:val="78702E03"/>
    <w:rsid w:val="78AA56F0"/>
    <w:rsid w:val="78AE679B"/>
    <w:rsid w:val="78CA10FB"/>
    <w:rsid w:val="791A3E30"/>
    <w:rsid w:val="792151BF"/>
    <w:rsid w:val="794B6EAC"/>
    <w:rsid w:val="79992F3A"/>
    <w:rsid w:val="79A23380"/>
    <w:rsid w:val="79D02A72"/>
    <w:rsid w:val="79DD6C0C"/>
    <w:rsid w:val="79EB30D7"/>
    <w:rsid w:val="79EC68CF"/>
    <w:rsid w:val="79F521A7"/>
    <w:rsid w:val="7A014471"/>
    <w:rsid w:val="7A1B4C87"/>
    <w:rsid w:val="7A633FE0"/>
    <w:rsid w:val="7A805F15"/>
    <w:rsid w:val="7A852E49"/>
    <w:rsid w:val="7A921700"/>
    <w:rsid w:val="7A965738"/>
    <w:rsid w:val="7A9D7487"/>
    <w:rsid w:val="7AB331FD"/>
    <w:rsid w:val="7ABB519F"/>
    <w:rsid w:val="7AD63D87"/>
    <w:rsid w:val="7AE77D48"/>
    <w:rsid w:val="7B762E74"/>
    <w:rsid w:val="7B8F65E6"/>
    <w:rsid w:val="7BBD4F47"/>
    <w:rsid w:val="7BBF4CC5"/>
    <w:rsid w:val="7BD83520"/>
    <w:rsid w:val="7BE7258B"/>
    <w:rsid w:val="7BF40B89"/>
    <w:rsid w:val="7C1A207B"/>
    <w:rsid w:val="7C30076C"/>
    <w:rsid w:val="7C537629"/>
    <w:rsid w:val="7C6A50C7"/>
    <w:rsid w:val="7C9D2185"/>
    <w:rsid w:val="7CC04CEF"/>
    <w:rsid w:val="7CC83F86"/>
    <w:rsid w:val="7CCA3711"/>
    <w:rsid w:val="7CFE770C"/>
    <w:rsid w:val="7D1F193A"/>
    <w:rsid w:val="7D2E5A63"/>
    <w:rsid w:val="7D324EEC"/>
    <w:rsid w:val="7D384885"/>
    <w:rsid w:val="7D4C2098"/>
    <w:rsid w:val="7D7A30EF"/>
    <w:rsid w:val="7D86745E"/>
    <w:rsid w:val="7D935920"/>
    <w:rsid w:val="7DB77BF0"/>
    <w:rsid w:val="7DB84178"/>
    <w:rsid w:val="7DC61E5E"/>
    <w:rsid w:val="7DDA033E"/>
    <w:rsid w:val="7E467C69"/>
    <w:rsid w:val="7E474946"/>
    <w:rsid w:val="7EBD2D39"/>
    <w:rsid w:val="7EE655C5"/>
    <w:rsid w:val="7EF95A5A"/>
    <w:rsid w:val="7F2E09F5"/>
    <w:rsid w:val="7F636288"/>
    <w:rsid w:val="7FAF2DF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iPriority="99"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qFormat="1"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iPriority="99"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iPriority="0" w:semiHidden="0" w:name="Body Text 2"/>
    <w:lsdException w:qFormat="1"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Book Antiqua" w:hAnsi="Book Antiqua"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jc w:val="center"/>
      <w:outlineLvl w:val="0"/>
    </w:pPr>
    <w:rPr>
      <w:b/>
      <w:bCs/>
      <w:kern w:val="44"/>
      <w:sz w:val="44"/>
      <w:szCs w:val="44"/>
    </w:rPr>
  </w:style>
  <w:style w:type="paragraph" w:styleId="3">
    <w:name w:val="heading 2"/>
    <w:basedOn w:val="1"/>
    <w:next w:val="1"/>
    <w:qFormat/>
    <w:uiPriority w:val="99"/>
    <w:pPr>
      <w:keepNext/>
      <w:keepLines/>
      <w:spacing w:before="260" w:after="260" w:line="416" w:lineRule="auto"/>
      <w:outlineLvl w:val="1"/>
    </w:pPr>
    <w:rPr>
      <w:rFonts w:ascii="Calibri Light" w:hAnsi="Calibri Light"/>
      <w:b/>
      <w:bCs/>
      <w:sz w:val="32"/>
      <w:szCs w:val="32"/>
    </w:rPr>
  </w:style>
  <w:style w:type="paragraph" w:styleId="4">
    <w:name w:val="heading 4"/>
    <w:basedOn w:val="1"/>
    <w:next w:val="1"/>
    <w:qFormat/>
    <w:uiPriority w:val="0"/>
    <w:pPr>
      <w:keepNext/>
      <w:keepLines/>
      <w:spacing w:before="280" w:after="290" w:line="376" w:lineRule="auto"/>
      <w:outlineLvl w:val="3"/>
    </w:pPr>
    <w:rPr>
      <w:rFonts w:ascii="Times New Roman" w:hAnsi="Times New Roman"/>
      <w:sz w:val="32"/>
      <w:szCs w:val="20"/>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unhideWhenUsed/>
    <w:qFormat/>
    <w:uiPriority w:val="99"/>
    <w:pPr>
      <w:ind w:firstLine="420"/>
    </w:pPr>
    <w:rPr>
      <w:rFonts w:ascii="Calibri" w:hAnsi="Calibri"/>
      <w:szCs w:val="20"/>
    </w:rPr>
  </w:style>
  <w:style w:type="paragraph" w:styleId="6">
    <w:name w:val="Body Text"/>
    <w:basedOn w:val="1"/>
    <w:qFormat/>
    <w:uiPriority w:val="0"/>
    <w:rPr>
      <w:rFonts w:ascii="Times New Roman" w:hAnsi="Times New Roman"/>
    </w:rPr>
  </w:style>
  <w:style w:type="paragraph" w:styleId="7">
    <w:name w:val="caption"/>
    <w:basedOn w:val="1"/>
    <w:next w:val="1"/>
    <w:qFormat/>
    <w:uiPriority w:val="0"/>
    <w:rPr>
      <w:rFonts w:ascii="Arial" w:hAnsi="Arial" w:eastAsia="黑体" w:cstheme="minorBidi"/>
      <w:sz w:val="20"/>
    </w:rPr>
  </w:style>
  <w:style w:type="paragraph" w:styleId="8">
    <w:name w:val="toa heading"/>
    <w:basedOn w:val="1"/>
    <w:next w:val="1"/>
    <w:unhideWhenUsed/>
    <w:qFormat/>
    <w:uiPriority w:val="99"/>
    <w:pPr>
      <w:spacing w:before="120"/>
    </w:pPr>
    <w:rPr>
      <w:rFonts w:ascii="Arial" w:hAnsi="Arial" w:cs="Arial"/>
      <w:sz w:val="24"/>
    </w:rPr>
  </w:style>
  <w:style w:type="paragraph" w:styleId="9">
    <w:name w:val="annotation text"/>
    <w:basedOn w:val="1"/>
    <w:semiHidden/>
    <w:qFormat/>
    <w:uiPriority w:val="0"/>
    <w:pPr>
      <w:jc w:val="left"/>
    </w:pPr>
  </w:style>
  <w:style w:type="paragraph" w:styleId="10">
    <w:name w:val="Body Text 3"/>
    <w:basedOn w:val="1"/>
    <w:unhideWhenUsed/>
    <w:qFormat/>
    <w:uiPriority w:val="0"/>
    <w:pPr>
      <w:spacing w:after="120"/>
    </w:pPr>
    <w:rPr>
      <w:rFonts w:ascii="Times New Roman" w:hAnsi="Times New Roman"/>
      <w:sz w:val="16"/>
      <w:szCs w:val="16"/>
    </w:rPr>
  </w:style>
  <w:style w:type="paragraph" w:styleId="11">
    <w:name w:val="Body Text Indent"/>
    <w:basedOn w:val="1"/>
    <w:qFormat/>
    <w:uiPriority w:val="0"/>
    <w:pPr>
      <w:ind w:firstLine="560" w:firstLineChars="200"/>
    </w:pPr>
    <w:rPr>
      <w:rFonts w:ascii="Times New Roman" w:hAnsi="Times New Roman"/>
    </w:rPr>
  </w:style>
  <w:style w:type="paragraph" w:styleId="12">
    <w:name w:val="toc 3"/>
    <w:basedOn w:val="1"/>
    <w:next w:val="1"/>
    <w:qFormat/>
    <w:uiPriority w:val="0"/>
    <w:pPr>
      <w:ind w:left="840" w:leftChars="400"/>
    </w:pPr>
  </w:style>
  <w:style w:type="paragraph" w:styleId="13">
    <w:name w:val="Plain Text"/>
    <w:basedOn w:val="1"/>
    <w:qFormat/>
    <w:uiPriority w:val="0"/>
    <w:rPr>
      <w:rFonts w:hint="eastAsia" w:ascii="宋体" w:hAnsi="Courier New"/>
      <w:szCs w:val="21"/>
    </w:rPr>
  </w:style>
  <w:style w:type="paragraph" w:styleId="14">
    <w:name w:val="footer"/>
    <w:basedOn w:val="1"/>
    <w:qFormat/>
    <w:uiPriority w:val="0"/>
    <w:pPr>
      <w:tabs>
        <w:tab w:val="center" w:pos="4153"/>
        <w:tab w:val="right" w:pos="8306"/>
      </w:tabs>
      <w:snapToGrid w:val="0"/>
      <w:jc w:val="left"/>
    </w:pPr>
    <w:rPr>
      <w:rFonts w:ascii="Times New Roman" w:hAnsi="Times New Roman"/>
      <w:sz w:val="18"/>
      <w:szCs w:val="18"/>
    </w:rPr>
  </w:style>
  <w:style w:type="paragraph" w:styleId="15">
    <w:name w:val="envelope return"/>
    <w:basedOn w:val="1"/>
    <w:qFormat/>
    <w:uiPriority w:val="99"/>
    <w:pPr>
      <w:snapToGrid w:val="0"/>
    </w:pPr>
    <w:rPr>
      <w:rFonts w:ascii="Arial" w:hAnsi="Arial" w:cs="Arial"/>
    </w:rPr>
  </w:style>
  <w:style w:type="paragraph" w:styleId="1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szCs w:val="18"/>
    </w:rPr>
  </w:style>
  <w:style w:type="paragraph" w:styleId="17">
    <w:name w:val="toc 1"/>
    <w:basedOn w:val="1"/>
    <w:next w:val="1"/>
    <w:qFormat/>
    <w:uiPriority w:val="0"/>
    <w:rPr>
      <w:rFonts w:ascii="Times New Roman" w:hAnsi="Times New Roman"/>
    </w:rPr>
  </w:style>
  <w:style w:type="paragraph" w:styleId="18">
    <w:name w:val="index 9"/>
    <w:basedOn w:val="1"/>
    <w:next w:val="1"/>
    <w:unhideWhenUsed/>
    <w:qFormat/>
    <w:uiPriority w:val="99"/>
    <w:pPr>
      <w:ind w:left="1600" w:leftChars="1600"/>
    </w:pPr>
  </w:style>
  <w:style w:type="paragraph" w:styleId="19">
    <w:name w:val="table of figures"/>
    <w:basedOn w:val="1"/>
    <w:next w:val="1"/>
    <w:qFormat/>
    <w:uiPriority w:val="0"/>
    <w:pPr>
      <w:ind w:left="200" w:leftChars="200" w:hanging="200" w:hangingChars="200"/>
    </w:pPr>
    <w:rPr>
      <w:rFonts w:ascii="Times New Roman" w:hAnsi="Times New Roman"/>
    </w:rPr>
  </w:style>
  <w:style w:type="paragraph" w:styleId="20">
    <w:name w:val="toc 2"/>
    <w:basedOn w:val="1"/>
    <w:next w:val="1"/>
    <w:qFormat/>
    <w:uiPriority w:val="0"/>
    <w:pPr>
      <w:ind w:left="420" w:leftChars="200"/>
    </w:pPr>
  </w:style>
  <w:style w:type="paragraph" w:styleId="21">
    <w:name w:val="Body Text 2"/>
    <w:basedOn w:val="1"/>
    <w:next w:val="6"/>
    <w:unhideWhenUsed/>
    <w:qFormat/>
    <w:uiPriority w:val="0"/>
    <w:pPr>
      <w:spacing w:after="120" w:line="480" w:lineRule="auto"/>
    </w:pPr>
    <w:rPr>
      <w:rFonts w:ascii="Times New Roman" w:hAnsi="Times New Roman"/>
    </w:rPr>
  </w:style>
  <w:style w:type="paragraph" w:styleId="22">
    <w:name w:val="Message Header"/>
    <w:basedOn w:val="1"/>
    <w:unhideWhenUsed/>
    <w:qFormat/>
    <w:uiPriority w:val="99"/>
    <w:pPr>
      <w:pBdr>
        <w:top w:val="single" w:color="auto" w:sz="6" w:space="1"/>
        <w:left w:val="single" w:color="auto" w:sz="6" w:space="1"/>
        <w:bottom w:val="single" w:color="auto" w:sz="6" w:space="1"/>
        <w:right w:val="single" w:color="auto" w:sz="6" w:space="1"/>
      </w:pBdr>
      <w:shd w:val="pct20" w:color="auto" w:fill="auto"/>
      <w:ind w:left="500" w:leftChars="500" w:hanging="1080" w:hangingChars="500"/>
    </w:pPr>
    <w:rPr>
      <w:rFonts w:ascii="Arial" w:hAnsi="Arial" w:cs="Arial"/>
      <w:sz w:val="24"/>
      <w:szCs w:val="21"/>
    </w:rPr>
  </w:style>
  <w:style w:type="paragraph" w:styleId="23">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4">
    <w:name w:val="Title"/>
    <w:basedOn w:val="1"/>
    <w:next w:val="1"/>
    <w:qFormat/>
    <w:uiPriority w:val="0"/>
    <w:pPr>
      <w:spacing w:before="240" w:after="60"/>
      <w:jc w:val="center"/>
      <w:outlineLvl w:val="0"/>
    </w:pPr>
    <w:rPr>
      <w:rFonts w:ascii="Calibri Light" w:hAnsi="Calibri Light" w:eastAsia="Calibri Light"/>
      <w:b/>
      <w:sz w:val="32"/>
      <w:szCs w:val="32"/>
    </w:rPr>
  </w:style>
  <w:style w:type="paragraph" w:styleId="25">
    <w:name w:val="annotation subject"/>
    <w:basedOn w:val="9"/>
    <w:next w:val="1"/>
    <w:qFormat/>
    <w:uiPriority w:val="0"/>
    <w:rPr>
      <w:b/>
      <w:bCs/>
    </w:rPr>
  </w:style>
  <w:style w:type="paragraph" w:styleId="26">
    <w:name w:val="Body Text First Indent"/>
    <w:basedOn w:val="6"/>
    <w:next w:val="27"/>
    <w:unhideWhenUsed/>
    <w:qFormat/>
    <w:uiPriority w:val="0"/>
    <w:pPr>
      <w:ind w:firstLine="420" w:firstLineChars="100"/>
    </w:pPr>
    <w:rPr>
      <w:rFonts w:hint="eastAsia" w:ascii="楷体_GB2312" w:eastAsia="楷体_GB2312"/>
      <w:sz w:val="32"/>
    </w:rPr>
  </w:style>
  <w:style w:type="paragraph" w:styleId="27">
    <w:name w:val="Body Text First Indent 2"/>
    <w:basedOn w:val="11"/>
    <w:qFormat/>
    <w:uiPriority w:val="0"/>
    <w:pPr>
      <w:ind w:firstLine="420"/>
    </w:pPr>
  </w:style>
  <w:style w:type="table" w:styleId="29">
    <w:name w:val="Table Grid"/>
    <w:basedOn w:val="2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basedOn w:val="30"/>
    <w:qFormat/>
    <w:uiPriority w:val="0"/>
    <w:rPr>
      <w:b/>
      <w:vanish/>
    </w:rPr>
  </w:style>
  <w:style w:type="character" w:styleId="32">
    <w:name w:val="Hyperlink"/>
    <w:qFormat/>
    <w:uiPriority w:val="99"/>
    <w:rPr>
      <w:rFonts w:cs="Times New Roman"/>
      <w:color w:val="0000FF"/>
      <w:u w:val="single"/>
    </w:rPr>
  </w:style>
  <w:style w:type="paragraph" w:customStyle="1" w:styleId="33">
    <w:name w:val="Default"/>
    <w:basedOn w:val="1"/>
    <w:next w:val="1"/>
    <w:qFormat/>
    <w:uiPriority w:val="0"/>
    <w:pPr>
      <w:autoSpaceDE w:val="0"/>
      <w:autoSpaceDN w:val="0"/>
      <w:adjustRightInd w:val="0"/>
      <w:jc w:val="left"/>
    </w:pPr>
    <w:rPr>
      <w:rFonts w:hint="eastAsia" w:ascii="宋体" w:hAnsi="Calibri"/>
      <w:color w:val="000000"/>
      <w:kern w:val="0"/>
      <w:sz w:val="24"/>
    </w:rPr>
  </w:style>
  <w:style w:type="paragraph" w:customStyle="1" w:styleId="34">
    <w:name w:val="目录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35">
    <w:name w:val="无间隔1"/>
    <w:basedOn w:val="1"/>
    <w:next w:val="36"/>
    <w:qFormat/>
    <w:uiPriority w:val="0"/>
    <w:pPr>
      <w:spacing w:line="400" w:lineRule="exact"/>
    </w:pPr>
    <w:rPr>
      <w:sz w:val="24"/>
    </w:rPr>
  </w:style>
  <w:style w:type="paragraph" w:customStyle="1" w:styleId="36">
    <w:name w:val="正文（首行缩进） Char"/>
    <w:basedOn w:val="1"/>
    <w:next w:val="37"/>
    <w:qFormat/>
    <w:uiPriority w:val="0"/>
    <w:pPr>
      <w:spacing w:line="360" w:lineRule="auto"/>
      <w:ind w:firstLine="480"/>
    </w:pPr>
    <w:rPr>
      <w:rFonts w:ascii="Arial"/>
      <w:color w:val="000000"/>
      <w:sz w:val="24"/>
    </w:rPr>
  </w:style>
  <w:style w:type="paragraph" w:customStyle="1" w:styleId="37">
    <w:name w:val="2号黑体加粗"/>
    <w:basedOn w:val="1"/>
    <w:next w:val="38"/>
    <w:qFormat/>
    <w:uiPriority w:val="0"/>
    <w:pPr>
      <w:jc w:val="center"/>
    </w:pPr>
    <w:rPr>
      <w:rFonts w:ascii="Calibri" w:eastAsia="黑体"/>
      <w:b/>
      <w:sz w:val="44"/>
    </w:rPr>
  </w:style>
  <w:style w:type="paragraph" w:customStyle="1" w:styleId="38">
    <w:name w:val="表格文字"/>
    <w:basedOn w:val="1"/>
    <w:next w:val="1"/>
    <w:qFormat/>
    <w:uiPriority w:val="0"/>
    <w:pPr>
      <w:adjustRightInd w:val="0"/>
      <w:spacing w:line="420" w:lineRule="atLeast"/>
      <w:jc w:val="left"/>
      <w:textAlignment w:val="baseline"/>
    </w:pPr>
    <w:rPr>
      <w:kern w:val="0"/>
    </w:rPr>
  </w:style>
  <w:style w:type="paragraph" w:customStyle="1" w:styleId="39">
    <w:name w:val="TOC Heading1"/>
    <w:next w:val="1"/>
    <w:qFormat/>
    <w:uiPriority w:val="0"/>
    <w:pPr>
      <w:wordWrap w:val="0"/>
    </w:pPr>
    <w:rPr>
      <w:rFonts w:ascii="Calibri" w:hAnsi="Calibri" w:eastAsia="宋体" w:cs="Times New Roman"/>
      <w:sz w:val="32"/>
      <w:szCs w:val="22"/>
      <w:lang w:val="en-US" w:eastAsia="zh-CN" w:bidi="ar-SA"/>
    </w:rPr>
  </w:style>
  <w:style w:type="paragraph" w:customStyle="1" w:styleId="40">
    <w:name w:val="style4"/>
    <w:basedOn w:val="41"/>
    <w:next w:val="42"/>
    <w:qFormat/>
    <w:uiPriority w:val="0"/>
    <w:pPr>
      <w:widowControl/>
      <w:spacing w:before="100" w:beforeAutospacing="1" w:after="100" w:afterAutospacing="1"/>
      <w:jc w:val="left"/>
    </w:pPr>
    <w:rPr>
      <w:rFonts w:ascii="宋体" w:hAnsi="宋体" w:cs="宋体"/>
      <w:kern w:val="0"/>
      <w:sz w:val="18"/>
      <w:szCs w:val="18"/>
    </w:rPr>
  </w:style>
  <w:style w:type="paragraph" w:customStyle="1" w:styleId="41">
    <w:name w:val="正文_0"/>
    <w:next w:val="2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2">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Style1"/>
    <w:next w:val="44"/>
    <w:qFormat/>
    <w:uiPriority w:val="0"/>
    <w:pPr>
      <w:numPr>
        <w:ilvl w:val="0"/>
        <w:numId w:val="1"/>
      </w:numPr>
      <w:tabs>
        <w:tab w:val="left" w:pos="720"/>
        <w:tab w:val="left" w:pos="1616"/>
        <w:tab w:val="left" w:pos="1914"/>
        <w:tab w:val="left" w:pos="2162"/>
        <w:tab w:val="left" w:pos="2411"/>
        <w:tab w:val="left" w:pos="2880"/>
        <w:tab w:val="left" w:pos="3600"/>
        <w:tab w:val="left" w:pos="3685"/>
        <w:tab w:val="left" w:pos="4320"/>
        <w:tab w:val="right" w:pos="4536"/>
        <w:tab w:val="left" w:pos="4819"/>
        <w:tab w:val="left" w:pos="5040"/>
        <w:tab w:val="left" w:pos="5760"/>
        <w:tab w:val="left" w:pos="5952"/>
        <w:tab w:val="left" w:pos="6480"/>
        <w:tab w:val="left" w:pos="7177"/>
        <w:tab w:val="left" w:pos="7920"/>
        <w:tab w:val="left" w:pos="8220"/>
        <w:tab w:val="left" w:pos="8640"/>
        <w:tab w:val="left" w:pos="9337"/>
        <w:tab w:val="left" w:pos="10488"/>
        <w:tab w:val="left" w:pos="11622"/>
        <w:tab w:val="left" w:pos="12756"/>
        <w:tab w:val="left" w:pos="13890"/>
        <w:tab w:val="left" w:pos="14377"/>
        <w:tab w:val="left" w:pos="15097"/>
        <w:tab w:val="left" w:pos="15817"/>
        <w:tab w:val="left" w:pos="16537"/>
        <w:tab w:val="left" w:pos="17257"/>
        <w:tab w:val="left" w:pos="17977"/>
        <w:tab w:val="left" w:pos="18697"/>
        <w:tab w:val="left" w:pos="19417"/>
        <w:tab w:val="left" w:pos="20137"/>
      </w:tabs>
      <w:spacing w:line="360" w:lineRule="auto"/>
      <w:jc w:val="center"/>
    </w:pPr>
    <w:rPr>
      <w:rFonts w:ascii="Calibri" w:hAnsi="Calibri" w:eastAsia="宋体" w:cs="宋体"/>
      <w:b/>
      <w:kern w:val="24"/>
      <w:sz w:val="24"/>
      <w:lang w:val="en-GB" w:eastAsia="zh-CN" w:bidi="ar-SA"/>
    </w:rPr>
  </w:style>
  <w:style w:type="paragraph" w:customStyle="1" w:styleId="44">
    <w:name w:val="*正文"/>
    <w:basedOn w:val="1"/>
    <w:qFormat/>
    <w:uiPriority w:val="0"/>
    <w:pPr>
      <w:ind w:firstLine="200" w:firstLineChars="200"/>
    </w:pPr>
    <w:rPr>
      <w:rFonts w:ascii="宋体" w:hAnsi="宋体"/>
      <w:szCs w:val="22"/>
    </w:rPr>
  </w:style>
  <w:style w:type="paragraph" w:customStyle="1" w:styleId="45">
    <w:name w:val="Body Text First Indent1"/>
    <w:basedOn w:val="6"/>
    <w:qFormat/>
    <w:uiPriority w:val="0"/>
    <w:pPr>
      <w:ind w:firstLine="420" w:firstLineChars="100"/>
    </w:pPr>
  </w:style>
  <w:style w:type="paragraph" w:customStyle="1" w:styleId="46">
    <w:name w:val="列出段落2"/>
    <w:basedOn w:val="1"/>
    <w:qFormat/>
    <w:uiPriority w:val="34"/>
    <w:pPr>
      <w:autoSpaceDE w:val="0"/>
      <w:autoSpaceDN w:val="0"/>
      <w:ind w:left="111" w:firstLine="420"/>
      <w:jc w:val="left"/>
    </w:pPr>
    <w:rPr>
      <w:rFonts w:ascii="宋体" w:hAnsi="宋体" w:cs="宋体"/>
      <w:kern w:val="0"/>
      <w:sz w:val="22"/>
      <w:szCs w:val="22"/>
      <w:lang w:eastAsia="en-US"/>
    </w:rPr>
  </w:style>
  <w:style w:type="paragraph" w:customStyle="1" w:styleId="47">
    <w:name w:val="p0"/>
    <w:basedOn w:val="48"/>
    <w:qFormat/>
    <w:uiPriority w:val="0"/>
    <w:pPr>
      <w:widowControl/>
    </w:pPr>
    <w:rPr>
      <w:kern w:val="0"/>
      <w:szCs w:val="21"/>
    </w:rPr>
  </w:style>
  <w:style w:type="paragraph" w:customStyle="1" w:styleId="48">
    <w:name w:val="正文1"/>
    <w:next w:val="49"/>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9">
    <w:name w:val="正文文本1"/>
    <w:basedOn w:val="48"/>
    <w:qFormat/>
    <w:uiPriority w:val="99"/>
    <w:rPr>
      <w:rFonts w:eastAsia="楷体_GB2312"/>
      <w:sz w:val="28"/>
    </w:rPr>
  </w:style>
  <w:style w:type="character" w:customStyle="1" w:styleId="50">
    <w:name w:val="NormalCharacter"/>
    <w:qFormat/>
    <w:uiPriority w:val="0"/>
    <w:rPr>
      <w:rFonts w:ascii="Book Antiqua" w:hAnsi="Book Antiqua" w:eastAsia="宋体" w:cs="Times New Roman"/>
      <w:kern w:val="2"/>
      <w:sz w:val="21"/>
      <w:szCs w:val="24"/>
      <w:lang w:val="en-US" w:eastAsia="zh-CN" w:bidi="ar-SA"/>
    </w:rPr>
  </w:style>
  <w:style w:type="paragraph" w:customStyle="1" w:styleId="51">
    <w:name w:val="BodyText1I"/>
    <w:basedOn w:val="52"/>
    <w:next w:val="54"/>
    <w:qFormat/>
    <w:uiPriority w:val="0"/>
    <w:pPr>
      <w:ind w:firstLine="420" w:firstLineChars="100"/>
    </w:pPr>
    <w:rPr>
      <w:rFonts w:ascii="楷体_GB2312"/>
      <w:sz w:val="32"/>
    </w:rPr>
  </w:style>
  <w:style w:type="paragraph" w:customStyle="1" w:styleId="52">
    <w:name w:val="BodyText"/>
    <w:basedOn w:val="1"/>
    <w:next w:val="53"/>
    <w:qFormat/>
    <w:uiPriority w:val="0"/>
    <w:pPr>
      <w:textAlignment w:val="baseline"/>
    </w:pPr>
    <w:rPr>
      <w:rFonts w:ascii="Calibri" w:hAnsi="Calibri" w:eastAsia="楷体_GB2312"/>
      <w:kern w:val="0"/>
      <w:sz w:val="28"/>
    </w:rPr>
  </w:style>
  <w:style w:type="paragraph" w:customStyle="1" w:styleId="53">
    <w:name w:val="BodyText2"/>
    <w:basedOn w:val="1"/>
    <w:next w:val="52"/>
    <w:qFormat/>
    <w:uiPriority w:val="0"/>
    <w:pPr>
      <w:spacing w:after="120" w:line="480" w:lineRule="auto"/>
      <w:textAlignment w:val="baseline"/>
    </w:pPr>
  </w:style>
  <w:style w:type="paragraph" w:customStyle="1" w:styleId="54">
    <w:name w:val="BodyText1I2"/>
    <w:basedOn w:val="55"/>
    <w:qFormat/>
    <w:uiPriority w:val="0"/>
    <w:pPr>
      <w:ind w:firstLine="420" w:firstLineChars="200"/>
    </w:pPr>
  </w:style>
  <w:style w:type="paragraph" w:customStyle="1" w:styleId="55">
    <w:name w:val="BodyTextIndent"/>
    <w:basedOn w:val="1"/>
    <w:qFormat/>
    <w:uiPriority w:val="0"/>
    <w:pPr>
      <w:spacing w:after="120"/>
      <w:ind w:left="420" w:leftChars="200"/>
      <w:textAlignment w:val="baseline"/>
    </w:pPr>
  </w:style>
  <w:style w:type="paragraph" w:customStyle="1" w:styleId="56">
    <w:name w:val="TOAHeading"/>
    <w:basedOn w:val="1"/>
    <w:next w:val="1"/>
    <w:qFormat/>
    <w:uiPriority w:val="0"/>
    <w:pPr>
      <w:spacing w:before="120"/>
      <w:textAlignment w:val="baseline"/>
    </w:pPr>
    <w:rPr>
      <w:rFonts w:ascii="Arial" w:hAnsi="Arial"/>
      <w:sz w:val="24"/>
      <w:szCs w:val="22"/>
    </w:rPr>
  </w:style>
  <w:style w:type="paragraph" w:customStyle="1" w:styleId="57">
    <w:name w:val="Table Paragraph"/>
    <w:basedOn w:val="48"/>
    <w:qFormat/>
    <w:uiPriority w:val="1"/>
    <w:rPr>
      <w:rFonts w:ascii="宋体" w:hAnsi="宋体" w:cs="宋体"/>
      <w:lang w:val="zh-CN" w:bidi="zh-CN"/>
    </w:rPr>
  </w:style>
  <w:style w:type="paragraph" w:styleId="58">
    <w:name w:val="List Paragraph"/>
    <w:basedOn w:val="1"/>
    <w:qFormat/>
    <w:uiPriority w:val="0"/>
    <w:pPr>
      <w:widowControl/>
      <w:ind w:left="720"/>
      <w:jc w:val="left"/>
    </w:pPr>
    <w:rPr>
      <w:rFonts w:hint="eastAsia" w:ascii="Calibri" w:hAnsi="Calibri"/>
      <w:kern w:val="0"/>
      <w:sz w:val="24"/>
      <w:lang w:eastAsia="en-US" w:bidi="en-US"/>
    </w:rPr>
  </w:style>
  <w:style w:type="paragraph" w:customStyle="1" w:styleId="59">
    <w:name w:val="_Style 41"/>
    <w:basedOn w:val="1"/>
    <w:next w:val="58"/>
    <w:qFormat/>
    <w:uiPriority w:val="34"/>
    <w:pPr>
      <w:ind w:firstLine="420" w:firstLineChars="200"/>
    </w:pPr>
    <w:rPr>
      <w:rFonts w:ascii="等线" w:hAnsi="等线" w:eastAsia="等线"/>
      <w:szCs w:val="22"/>
    </w:rPr>
  </w:style>
  <w:style w:type="paragraph" w:customStyle="1" w:styleId="60">
    <w:name w:val="信息标题1"/>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kern w:val="0"/>
    </w:rPr>
  </w:style>
  <w:style w:type="paragraph" w:styleId="61">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62">
    <w:name w:val="列出段落1"/>
    <w:basedOn w:val="1"/>
    <w:qFormat/>
    <w:uiPriority w:val="34"/>
    <w:pPr>
      <w:ind w:firstLine="420" w:firstLineChars="200"/>
    </w:pPr>
    <w:rPr>
      <w:rFonts w:ascii="Calibri" w:hAnsi="Calibri"/>
      <w:szCs w:val="22"/>
    </w:rPr>
  </w:style>
  <w:style w:type="paragraph" w:customStyle="1" w:styleId="63">
    <w:name w:val="正文_5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4">
    <w:name w:val="p15"/>
    <w:basedOn w:val="48"/>
    <w:qFormat/>
    <w:uiPriority w:val="0"/>
    <w:pPr>
      <w:widowControl/>
      <w:spacing w:line="365" w:lineRule="atLeast"/>
      <w:ind w:left="1"/>
    </w:pPr>
    <w:rPr>
      <w:kern w:val="0"/>
      <w:sz w:val="20"/>
      <w:szCs w:val="20"/>
    </w:rPr>
  </w:style>
  <w:style w:type="paragraph" w:customStyle="1" w:styleId="65">
    <w:name w:val="Table Text"/>
    <w:basedOn w:val="1"/>
    <w:semiHidden/>
    <w:qFormat/>
    <w:uiPriority w:val="0"/>
    <w:pPr>
      <w:widowControl/>
      <w:kinsoku w:val="0"/>
      <w:autoSpaceDE w:val="0"/>
      <w:autoSpaceDN w:val="0"/>
      <w:adjustRightInd w:val="0"/>
      <w:snapToGrid w:val="0"/>
      <w:spacing w:after="0" w:line="240" w:lineRule="auto"/>
      <w:textAlignment w:val="baseline"/>
    </w:pPr>
    <w:rPr>
      <w:rFonts w:ascii="宋体" w:hAnsi="宋体" w:eastAsia="宋体" w:cs="宋体"/>
      <w:snapToGrid w:val="0"/>
      <w:color w:val="000000"/>
      <w:kern w:val="0"/>
      <w:sz w:val="24"/>
      <w:lang w:eastAsia="en-US"/>
    </w:rPr>
  </w:style>
  <w:style w:type="paragraph" w:customStyle="1" w:styleId="66">
    <w:name w:val="Other|1"/>
    <w:basedOn w:val="1"/>
    <w:qFormat/>
    <w:uiPriority w:val="0"/>
    <w:pPr>
      <w:spacing w:after="100" w:line="430" w:lineRule="auto"/>
      <w:ind w:firstLine="400"/>
      <w:jc w:val="both"/>
    </w:pPr>
    <w:rPr>
      <w:rFonts w:ascii="宋体" w:hAnsi="宋体" w:eastAsia="宋体" w:cs="宋体"/>
      <w:sz w:val="20"/>
      <w:szCs w:val="20"/>
      <w:lang w:val="zh-TW" w:eastAsia="zh-TW" w:bidi="zh-TW"/>
    </w:rPr>
  </w:style>
  <w:style w:type="paragraph" w:customStyle="1" w:styleId="67">
    <w:name w:val="列表段落111"/>
    <w:basedOn w:val="1"/>
    <w:qFormat/>
    <w:uiPriority w:val="34"/>
    <w:pPr>
      <w:spacing w:after="0" w:line="240" w:lineRule="auto"/>
      <w:ind w:firstLine="420" w:firstLineChars="200"/>
      <w:jc w:val="both"/>
    </w:pPr>
    <w:rPr>
      <w:sz w:val="21"/>
    </w:rPr>
  </w:style>
  <w:style w:type="character" w:customStyle="1" w:styleId="68">
    <w:name w:val="font11"/>
    <w:qFormat/>
    <w:uiPriority w:val="0"/>
    <w:rPr>
      <w:rFonts w:hint="eastAsia" w:ascii="宋体" w:hAnsi="宋体" w:eastAsia="宋体" w:cs="宋体"/>
      <w:color w:val="000000"/>
      <w:sz w:val="20"/>
      <w:szCs w:val="20"/>
      <w:u w:val="none"/>
    </w:rPr>
  </w:style>
  <w:style w:type="character" w:customStyle="1" w:styleId="69">
    <w:name w:val="font01"/>
    <w:basedOn w:val="30"/>
    <w:qFormat/>
    <w:uiPriority w:val="0"/>
    <w:rPr>
      <w:rFonts w:hint="eastAsia" w:ascii="宋体" w:hAnsi="宋体" w:eastAsia="宋体" w:cs="宋体"/>
      <w:color w:val="000000"/>
      <w:sz w:val="24"/>
      <w:szCs w:val="24"/>
      <w:u w:val="none"/>
    </w:rPr>
  </w:style>
  <w:style w:type="character" w:customStyle="1" w:styleId="70">
    <w:name w:val="font21"/>
    <w:qFormat/>
    <w:uiPriority w:val="0"/>
    <w:rPr>
      <w:rFonts w:ascii="MS Gothic" w:hAnsi="MS Gothic" w:eastAsia="MS Gothic" w:cs="MS Gothic"/>
      <w:color w:val="000000"/>
      <w:sz w:val="20"/>
      <w:szCs w:val="20"/>
      <w:u w:val="none"/>
    </w:rPr>
  </w:style>
  <w:style w:type="character" w:customStyle="1" w:styleId="71">
    <w:name w:val="15"/>
    <w:basedOn w:val="30"/>
    <w:qFormat/>
    <w:uiPriority w:val="0"/>
  </w:style>
  <w:style w:type="table" w:customStyle="1" w:styleId="72">
    <w:name w:val="表格样式"/>
    <w:basedOn w:val="28"/>
    <w:qFormat/>
    <w:uiPriority w:val="99"/>
    <w:pPr>
      <w:jc w:val="center"/>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shd w:val="clear" w:color="auto" w:fill="FFFFFF"/>
      <w:vAlign w:val="center"/>
    </w:tcPr>
  </w:style>
  <w:style w:type="paragraph" w:customStyle="1" w:styleId="73">
    <w:name w:val="Heading2"/>
    <w:basedOn w:val="1"/>
    <w:next w:val="1"/>
    <w:qFormat/>
    <w:uiPriority w:val="0"/>
    <w:pPr>
      <w:keepNext/>
      <w:keepLines/>
      <w:tabs>
        <w:tab w:val="left" w:pos="840"/>
      </w:tabs>
      <w:spacing w:before="260" w:after="260" w:line="416" w:lineRule="auto"/>
      <w:ind w:left="840" w:hanging="420"/>
      <w:jc w:val="center"/>
      <w:textAlignment w:val="baseline"/>
    </w:pPr>
    <w:rPr>
      <w:rFonts w:ascii="Arial" w:hAnsi="Arial" w:eastAsia="黑体" w:cs="Arial"/>
      <w:b/>
      <w:bCs/>
      <w:kern w:val="2"/>
      <w:sz w:val="32"/>
      <w:szCs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80</Pages>
  <Words>36756</Words>
  <Characters>41910</Characters>
  <Lines>240</Lines>
  <Paragraphs>67</Paragraphs>
  <TotalTime>2</TotalTime>
  <ScaleCrop>false</ScaleCrop>
  <LinksUpToDate>false</LinksUpToDate>
  <CharactersWithSpaces>44129</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2023-10-07T08:00:00Z</dcterms:created>
  <dc:creator>DELL</dc:creator>
  <cp:lastModifiedBy>一帆风顺</cp:lastModifiedBy>
  <cp:lastPrinted>2023-10-28T03:07:00Z</cp:lastPrinted>
  <dcterms:modified xsi:type="dcterms:W3CDTF">2024-08-26T11:21:27Z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BAF0A0E82F7F47068A2E467117D58210_13</vt:lpwstr>
  </property>
</Properties>
</file>